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335D2" w14:textId="77777777" w:rsidR="00321785" w:rsidRPr="003904F9" w:rsidRDefault="00321785" w:rsidP="00807AF9">
      <w:pPr>
        <w:spacing w:after="160"/>
        <w:rPr>
          <w:rFonts w:ascii="Arial" w:hAnsi="Arial" w:cs="Arial"/>
          <w:i/>
          <w:iCs/>
        </w:rPr>
      </w:pPr>
    </w:p>
    <w:p w14:paraId="00C95C70" w14:textId="77777777" w:rsidR="00321785" w:rsidRPr="003904F9" w:rsidRDefault="00321785" w:rsidP="00807AF9">
      <w:pPr>
        <w:spacing w:after="160"/>
        <w:rPr>
          <w:rFonts w:ascii="Arial" w:hAnsi="Arial" w:cs="Arial"/>
          <w:i/>
          <w:iCs/>
        </w:rPr>
      </w:pPr>
    </w:p>
    <w:p w14:paraId="1C4531D3" w14:textId="39049B5F" w:rsidR="00F14670" w:rsidRPr="003904F9" w:rsidRDefault="00F14670" w:rsidP="00807AF9">
      <w:pPr>
        <w:spacing w:after="160"/>
        <w:rPr>
          <w:rFonts w:ascii="Arial" w:hAnsi="Arial" w:cs="Arial"/>
          <w:i/>
          <w:iCs/>
        </w:rPr>
      </w:pPr>
      <w:r w:rsidRPr="003904F9">
        <w:rPr>
          <w:rFonts w:ascii="Arial" w:hAnsi="Arial" w:cs="Arial"/>
          <w:i/>
          <w:iCs/>
        </w:rPr>
        <w:t>Submi</w:t>
      </w:r>
      <w:r w:rsidR="004B7EB2" w:rsidRPr="003904F9">
        <w:rPr>
          <w:rFonts w:ascii="Arial" w:hAnsi="Arial" w:cs="Arial"/>
          <w:i/>
          <w:iCs/>
        </w:rPr>
        <w:t>tted</w:t>
      </w:r>
      <w:r w:rsidRPr="003904F9">
        <w:rPr>
          <w:rFonts w:ascii="Arial" w:hAnsi="Arial" w:cs="Arial"/>
          <w:i/>
          <w:iCs/>
        </w:rPr>
        <w:t xml:space="preserve"> online at: </w:t>
      </w:r>
      <w:hyperlink r:id="rId8" w:history="1"/>
      <w:r w:rsidRPr="003904F9">
        <w:rPr>
          <w:rFonts w:ascii="Arial" w:hAnsi="Arial" w:cs="Arial"/>
          <w:i/>
          <w:iCs/>
        </w:rPr>
        <w:t xml:space="preserve"> </w:t>
      </w:r>
      <w:hyperlink r:id="rId9" w:history="1">
        <w:r w:rsidRPr="003904F9">
          <w:rPr>
            <w:rStyle w:val="Hyperlink"/>
            <w:rFonts w:ascii="Arial" w:hAnsi="Arial" w:cs="Arial"/>
          </w:rPr>
          <w:t>http://www.regulations.gov</w:t>
        </w:r>
      </w:hyperlink>
    </w:p>
    <w:p w14:paraId="26BB7682" w14:textId="77777777" w:rsidR="009363F9" w:rsidRPr="003904F9" w:rsidRDefault="009363F9" w:rsidP="00807AF9">
      <w:pPr>
        <w:rPr>
          <w:rFonts w:ascii="Arial" w:hAnsi="Arial" w:cs="Arial"/>
        </w:rPr>
      </w:pPr>
      <w:r w:rsidRPr="003904F9">
        <w:rPr>
          <w:rFonts w:ascii="Arial" w:hAnsi="Arial" w:cs="Arial"/>
        </w:rPr>
        <w:t>Mehmet Oz, MD</w:t>
      </w:r>
    </w:p>
    <w:p w14:paraId="237E5414" w14:textId="1877A428" w:rsidR="00B34C05" w:rsidRPr="003904F9" w:rsidRDefault="008065AF" w:rsidP="00807AF9">
      <w:pPr>
        <w:rPr>
          <w:rFonts w:ascii="Arial" w:hAnsi="Arial" w:cs="Arial"/>
        </w:rPr>
      </w:pPr>
      <w:r w:rsidRPr="003904F9">
        <w:rPr>
          <w:rFonts w:ascii="Arial" w:hAnsi="Arial" w:cs="Arial"/>
        </w:rPr>
        <w:t>Director, Center for Medicare</w:t>
      </w:r>
      <w:r w:rsidRPr="003904F9">
        <w:rPr>
          <w:rFonts w:ascii="Arial" w:hAnsi="Arial" w:cs="Arial"/>
        </w:rPr>
        <w:br/>
      </w:r>
      <w:r w:rsidR="00B34C05" w:rsidRPr="003904F9">
        <w:rPr>
          <w:rFonts w:ascii="Arial" w:hAnsi="Arial" w:cs="Arial"/>
        </w:rPr>
        <w:t>Centers for Medicare &amp; Medicaid Services</w:t>
      </w:r>
    </w:p>
    <w:p w14:paraId="406C3A30" w14:textId="24D19CC3" w:rsidR="00B34C05" w:rsidRPr="003904F9" w:rsidRDefault="00B34C05" w:rsidP="00807AF9">
      <w:pPr>
        <w:rPr>
          <w:rFonts w:ascii="Arial" w:hAnsi="Arial" w:cs="Arial"/>
        </w:rPr>
      </w:pPr>
      <w:r w:rsidRPr="003904F9">
        <w:rPr>
          <w:rFonts w:ascii="Arial" w:hAnsi="Arial" w:cs="Arial"/>
        </w:rPr>
        <w:t>Department of Health and Human Services</w:t>
      </w:r>
    </w:p>
    <w:p w14:paraId="130122C0" w14:textId="3CECCF62" w:rsidR="00B34C05" w:rsidRPr="003904F9" w:rsidRDefault="00B34C05" w:rsidP="00807AF9">
      <w:pPr>
        <w:rPr>
          <w:rFonts w:ascii="Arial" w:hAnsi="Arial" w:cs="Arial"/>
        </w:rPr>
      </w:pPr>
      <w:r w:rsidRPr="003904F9">
        <w:rPr>
          <w:rFonts w:ascii="Arial" w:hAnsi="Arial" w:cs="Arial"/>
        </w:rPr>
        <w:t>Attention: CMS-1807-P</w:t>
      </w:r>
    </w:p>
    <w:p w14:paraId="2D9ED507" w14:textId="63DCB326" w:rsidR="00B34C05" w:rsidRPr="003904F9" w:rsidRDefault="00B34C05" w:rsidP="00807AF9">
      <w:pPr>
        <w:rPr>
          <w:rFonts w:ascii="Arial" w:hAnsi="Arial" w:cs="Arial"/>
        </w:rPr>
      </w:pPr>
      <w:r w:rsidRPr="003904F9">
        <w:rPr>
          <w:rFonts w:ascii="Arial" w:hAnsi="Arial" w:cs="Arial"/>
        </w:rPr>
        <w:t>P.O. Box 8016</w:t>
      </w:r>
    </w:p>
    <w:p w14:paraId="16919415" w14:textId="415F26A3" w:rsidR="00D92E20" w:rsidRPr="003904F9" w:rsidRDefault="00B34C05" w:rsidP="00807AF9">
      <w:pPr>
        <w:rPr>
          <w:rFonts w:ascii="Arial" w:hAnsi="Arial" w:cs="Arial"/>
        </w:rPr>
      </w:pPr>
      <w:r w:rsidRPr="003904F9">
        <w:rPr>
          <w:rFonts w:ascii="Arial" w:hAnsi="Arial" w:cs="Arial"/>
        </w:rPr>
        <w:t>Baltimore, MD 21244-8016</w:t>
      </w:r>
    </w:p>
    <w:p w14:paraId="5C142265" w14:textId="77777777" w:rsidR="00981FD8" w:rsidRPr="003904F9" w:rsidRDefault="00981FD8" w:rsidP="00807AF9">
      <w:pPr>
        <w:rPr>
          <w:rFonts w:ascii="Arial" w:hAnsi="Arial" w:cs="Arial"/>
        </w:rPr>
      </w:pPr>
    </w:p>
    <w:p w14:paraId="4E7B226F" w14:textId="607D7CA0" w:rsidR="00F14670" w:rsidRPr="003904F9" w:rsidRDefault="00F14670" w:rsidP="00807AF9">
      <w:pPr>
        <w:rPr>
          <w:rFonts w:ascii="Arial" w:hAnsi="Arial" w:cs="Arial"/>
        </w:rPr>
      </w:pPr>
      <w:r w:rsidRPr="003904F9">
        <w:rPr>
          <w:rFonts w:ascii="Arial" w:hAnsi="Arial" w:cs="Arial"/>
        </w:rPr>
        <w:t xml:space="preserve">September </w:t>
      </w:r>
      <w:r w:rsidR="003904F9">
        <w:rPr>
          <w:rFonts w:ascii="Arial" w:hAnsi="Arial" w:cs="Arial"/>
        </w:rPr>
        <w:t>12</w:t>
      </w:r>
      <w:r w:rsidRPr="003904F9">
        <w:rPr>
          <w:rFonts w:ascii="Arial" w:hAnsi="Arial" w:cs="Arial"/>
        </w:rPr>
        <w:t>, 202</w:t>
      </w:r>
      <w:r w:rsidR="00B84733" w:rsidRPr="003904F9">
        <w:rPr>
          <w:rFonts w:ascii="Arial" w:hAnsi="Arial" w:cs="Arial"/>
        </w:rPr>
        <w:t>6</w:t>
      </w:r>
    </w:p>
    <w:p w14:paraId="14ABA718" w14:textId="77777777" w:rsidR="004660CD" w:rsidRPr="003904F9" w:rsidRDefault="004660CD" w:rsidP="00807AF9">
      <w:pPr>
        <w:spacing w:after="160"/>
        <w:rPr>
          <w:rFonts w:ascii="Arial" w:hAnsi="Arial" w:cs="Arial"/>
        </w:rPr>
      </w:pPr>
    </w:p>
    <w:p w14:paraId="5CB18C30" w14:textId="32AD2977" w:rsidR="00477573" w:rsidRPr="003904F9" w:rsidRDefault="00477573" w:rsidP="00807AF9">
      <w:pPr>
        <w:spacing w:after="160"/>
        <w:rPr>
          <w:rFonts w:ascii="Arial" w:hAnsi="Arial" w:cs="Arial"/>
        </w:rPr>
      </w:pPr>
      <w:r w:rsidRPr="003904F9">
        <w:rPr>
          <w:rFonts w:ascii="Arial" w:hAnsi="Arial" w:cs="Arial"/>
        </w:rPr>
        <w:t xml:space="preserve">Dear </w:t>
      </w:r>
      <w:r w:rsidR="00DD7669" w:rsidRPr="003904F9">
        <w:rPr>
          <w:rFonts w:ascii="Arial" w:hAnsi="Arial" w:cs="Arial"/>
        </w:rPr>
        <w:t>Dr.</w:t>
      </w:r>
      <w:r w:rsidR="008065AF" w:rsidRPr="003904F9">
        <w:rPr>
          <w:rFonts w:ascii="Arial" w:hAnsi="Arial" w:cs="Arial"/>
        </w:rPr>
        <w:t xml:space="preserve"> </w:t>
      </w:r>
      <w:r w:rsidR="009363F9" w:rsidRPr="003904F9">
        <w:rPr>
          <w:rFonts w:ascii="Arial" w:hAnsi="Arial" w:cs="Arial"/>
        </w:rPr>
        <w:t>Oz</w:t>
      </w:r>
      <w:r w:rsidRPr="003904F9">
        <w:rPr>
          <w:rFonts w:ascii="Arial" w:hAnsi="Arial" w:cs="Arial"/>
        </w:rPr>
        <w:t>,</w:t>
      </w:r>
    </w:p>
    <w:p w14:paraId="6F54FD2C" w14:textId="0486B813" w:rsidR="00ED4F60" w:rsidRPr="003904F9" w:rsidRDefault="00CF380F" w:rsidP="00807AF9">
      <w:pPr>
        <w:spacing w:after="160"/>
        <w:rPr>
          <w:rFonts w:ascii="Arial" w:eastAsia="Times New Roman" w:hAnsi="Arial" w:cs="Arial"/>
        </w:rPr>
      </w:pPr>
      <w:r w:rsidRPr="003904F9">
        <w:rPr>
          <w:rFonts w:ascii="Arial" w:eastAsia="Times New Roman" w:hAnsi="Arial" w:cs="Arial"/>
        </w:rPr>
        <w:t xml:space="preserve">On </w:t>
      </w:r>
      <w:r w:rsidR="00981FD8" w:rsidRPr="003904F9">
        <w:rPr>
          <w:rFonts w:ascii="Arial" w:eastAsia="Times New Roman" w:hAnsi="Arial" w:cs="Arial"/>
        </w:rPr>
        <w:t>behalf of</w:t>
      </w:r>
      <w:r w:rsidRPr="003904F9">
        <w:rPr>
          <w:rFonts w:ascii="Arial" w:eastAsia="Times New Roman" w:hAnsi="Arial" w:cs="Arial"/>
        </w:rPr>
        <w:t xml:space="preserve"> Michigan Multipayer Initiatives (MMI)</w:t>
      </w:r>
      <w:r w:rsidR="00507E76" w:rsidRPr="003904F9">
        <w:rPr>
          <w:rFonts w:ascii="Arial" w:eastAsia="Times New Roman" w:hAnsi="Arial" w:cs="Arial"/>
        </w:rPr>
        <w:t xml:space="preserve">, </w:t>
      </w:r>
      <w:r w:rsidR="00981FD8" w:rsidRPr="003904F9">
        <w:rPr>
          <w:rFonts w:ascii="Arial" w:eastAsia="Times New Roman" w:hAnsi="Arial" w:cs="Arial"/>
        </w:rPr>
        <w:t>we are delighted to share our comments on the proposed 202</w:t>
      </w:r>
      <w:r w:rsidR="00B84733" w:rsidRPr="003904F9">
        <w:rPr>
          <w:rFonts w:ascii="Arial" w:eastAsia="Times New Roman" w:hAnsi="Arial" w:cs="Arial"/>
        </w:rPr>
        <w:t>7</w:t>
      </w:r>
      <w:r w:rsidR="00981FD8" w:rsidRPr="003904F9">
        <w:rPr>
          <w:rFonts w:ascii="Arial" w:eastAsia="Times New Roman" w:hAnsi="Arial" w:cs="Arial"/>
        </w:rPr>
        <w:t xml:space="preserve"> Physician Fee Schedule. </w:t>
      </w:r>
      <w:r w:rsidR="002E7E58" w:rsidRPr="003904F9">
        <w:rPr>
          <w:rFonts w:ascii="Arial" w:eastAsia="Times New Roman" w:hAnsi="Arial" w:cs="Arial"/>
        </w:rPr>
        <w:t>MMI</w:t>
      </w:r>
      <w:r w:rsidR="00F37ABA" w:rsidRPr="003904F9">
        <w:rPr>
          <w:rFonts w:ascii="Arial" w:eastAsia="Times New Roman" w:hAnsi="Arial" w:cs="Arial"/>
        </w:rPr>
        <w:t xml:space="preserve"> is a voluntary</w:t>
      </w:r>
      <w:r w:rsidR="00664588" w:rsidRPr="003904F9">
        <w:rPr>
          <w:rFonts w:ascii="Arial" w:eastAsia="Times New Roman" w:hAnsi="Arial" w:cs="Arial"/>
        </w:rPr>
        <w:t>, non-profit</w:t>
      </w:r>
      <w:r w:rsidR="00F37ABA" w:rsidRPr="003904F9">
        <w:rPr>
          <w:rFonts w:ascii="Arial" w:eastAsia="Times New Roman" w:hAnsi="Arial" w:cs="Arial"/>
        </w:rPr>
        <w:t xml:space="preserve"> collective of health plans and providers </w:t>
      </w:r>
      <w:r w:rsidR="003C070B" w:rsidRPr="003904F9">
        <w:rPr>
          <w:rFonts w:ascii="Arial" w:eastAsia="Times New Roman" w:hAnsi="Arial" w:cs="Arial"/>
        </w:rPr>
        <w:t xml:space="preserve">across Michigan </w:t>
      </w:r>
      <w:r w:rsidR="0088187A" w:rsidRPr="003904F9">
        <w:rPr>
          <w:rFonts w:ascii="Arial" w:eastAsia="Times New Roman" w:hAnsi="Arial" w:cs="Arial"/>
        </w:rPr>
        <w:t>aimed at</w:t>
      </w:r>
      <w:r w:rsidR="002E7E58" w:rsidRPr="003904F9">
        <w:rPr>
          <w:rFonts w:ascii="Arial" w:eastAsia="Times New Roman" w:hAnsi="Arial" w:cs="Arial"/>
        </w:rPr>
        <w:t xml:space="preserve"> </w:t>
      </w:r>
      <w:r w:rsidR="00081304" w:rsidRPr="003904F9">
        <w:rPr>
          <w:rFonts w:ascii="Arial" w:eastAsia="Times New Roman" w:hAnsi="Arial" w:cs="Arial"/>
        </w:rPr>
        <w:t>aligning</w:t>
      </w:r>
      <w:r w:rsidR="00042101" w:rsidRPr="003904F9">
        <w:rPr>
          <w:rFonts w:ascii="Arial" w:eastAsia="Times New Roman" w:hAnsi="Arial" w:cs="Arial"/>
        </w:rPr>
        <w:t xml:space="preserve"> payer</w:t>
      </w:r>
      <w:r w:rsidR="00DA7F4B" w:rsidRPr="003904F9">
        <w:rPr>
          <w:rFonts w:ascii="Arial" w:eastAsia="Times New Roman" w:hAnsi="Arial" w:cs="Arial"/>
        </w:rPr>
        <w:t xml:space="preserve"> policy</w:t>
      </w:r>
      <w:r w:rsidR="00F37ABA" w:rsidRPr="003904F9">
        <w:rPr>
          <w:rFonts w:ascii="Arial" w:eastAsia="Times New Roman" w:hAnsi="Arial" w:cs="Arial"/>
        </w:rPr>
        <w:t xml:space="preserve"> </w:t>
      </w:r>
      <w:r w:rsidR="00DA7F4B" w:rsidRPr="003904F9">
        <w:rPr>
          <w:rFonts w:ascii="Arial" w:eastAsia="Times New Roman" w:hAnsi="Arial" w:cs="Arial"/>
        </w:rPr>
        <w:t xml:space="preserve">to promote </w:t>
      </w:r>
      <w:r w:rsidR="00E436DC" w:rsidRPr="003904F9">
        <w:rPr>
          <w:rFonts w:ascii="Arial" w:eastAsia="Times New Roman" w:hAnsi="Arial" w:cs="Arial"/>
        </w:rPr>
        <w:t xml:space="preserve">evidence-based </w:t>
      </w:r>
      <w:r w:rsidR="00DA7F4B" w:rsidRPr="003904F9">
        <w:rPr>
          <w:rFonts w:ascii="Arial" w:eastAsia="Times New Roman" w:hAnsi="Arial" w:cs="Arial"/>
        </w:rPr>
        <w:t xml:space="preserve">approaches </w:t>
      </w:r>
      <w:r w:rsidR="00F37ABA" w:rsidRPr="003904F9">
        <w:rPr>
          <w:rFonts w:ascii="Arial" w:eastAsia="Times New Roman" w:hAnsi="Arial" w:cs="Arial"/>
        </w:rPr>
        <w:t>that support and strengthen primary care</w:t>
      </w:r>
      <w:r w:rsidR="00BF40F3" w:rsidRPr="003904F9">
        <w:rPr>
          <w:rFonts w:ascii="Arial" w:eastAsia="Times New Roman" w:hAnsi="Arial" w:cs="Arial"/>
        </w:rPr>
        <w:t xml:space="preserve">. </w:t>
      </w:r>
      <w:r w:rsidR="005001E7" w:rsidRPr="003904F9">
        <w:rPr>
          <w:rFonts w:ascii="Arial" w:eastAsia="Times New Roman" w:hAnsi="Arial" w:cs="Arial"/>
        </w:rPr>
        <w:t>M</w:t>
      </w:r>
      <w:r w:rsidRPr="003904F9">
        <w:rPr>
          <w:rFonts w:ascii="Arial" w:eastAsia="Times New Roman" w:hAnsi="Arial" w:cs="Arial"/>
        </w:rPr>
        <w:t xml:space="preserve">MI </w:t>
      </w:r>
      <w:r w:rsidR="00F37ABA" w:rsidRPr="003904F9">
        <w:rPr>
          <w:rFonts w:ascii="Arial" w:eastAsia="Times New Roman" w:hAnsi="Arial" w:cs="Arial"/>
        </w:rPr>
        <w:t xml:space="preserve">includes representation from all </w:t>
      </w:r>
      <w:r w:rsidR="00134992" w:rsidRPr="003904F9">
        <w:rPr>
          <w:rFonts w:ascii="Arial" w:eastAsia="Times New Roman" w:hAnsi="Arial" w:cs="Arial"/>
        </w:rPr>
        <w:t xml:space="preserve">health plan payers </w:t>
      </w:r>
      <w:r w:rsidR="00F37ABA" w:rsidRPr="003904F9">
        <w:rPr>
          <w:rFonts w:ascii="Arial" w:eastAsia="Times New Roman" w:hAnsi="Arial" w:cs="Arial"/>
        </w:rPr>
        <w:t xml:space="preserve">in the state, as well as an </w:t>
      </w:r>
      <w:r w:rsidR="00664588" w:rsidRPr="003904F9">
        <w:rPr>
          <w:rFonts w:ascii="Arial" w:eastAsia="Times New Roman" w:hAnsi="Arial" w:cs="Arial"/>
        </w:rPr>
        <w:t xml:space="preserve">impressive </w:t>
      </w:r>
      <w:r w:rsidR="00F37ABA" w:rsidRPr="003904F9">
        <w:rPr>
          <w:rFonts w:ascii="Arial" w:eastAsia="Times New Roman" w:hAnsi="Arial" w:cs="Arial"/>
        </w:rPr>
        <w:t xml:space="preserve">array of </w:t>
      </w:r>
      <w:r w:rsidR="00786FBE" w:rsidRPr="003904F9">
        <w:rPr>
          <w:rFonts w:ascii="Arial" w:eastAsia="Times New Roman" w:hAnsi="Arial" w:cs="Arial"/>
        </w:rPr>
        <w:t xml:space="preserve">statewide </w:t>
      </w:r>
      <w:r w:rsidR="00F37ABA" w:rsidRPr="003904F9">
        <w:rPr>
          <w:rFonts w:ascii="Arial" w:eastAsia="Times New Roman" w:hAnsi="Arial" w:cs="Arial"/>
        </w:rPr>
        <w:t xml:space="preserve">practicing physicians and </w:t>
      </w:r>
      <w:r w:rsidR="004808C1" w:rsidRPr="003904F9">
        <w:rPr>
          <w:rFonts w:ascii="Arial" w:eastAsia="Times New Roman" w:hAnsi="Arial" w:cs="Arial"/>
        </w:rPr>
        <w:t>physician organization</w:t>
      </w:r>
      <w:r w:rsidR="00F37ABA" w:rsidRPr="003904F9">
        <w:rPr>
          <w:rFonts w:ascii="Arial" w:eastAsia="Times New Roman" w:hAnsi="Arial" w:cs="Arial"/>
        </w:rPr>
        <w:t xml:space="preserve"> leaders. We </w:t>
      </w:r>
      <w:r w:rsidR="002706F8" w:rsidRPr="003904F9">
        <w:rPr>
          <w:rFonts w:ascii="Arial" w:eastAsia="Times New Roman" w:hAnsi="Arial" w:cs="Arial"/>
        </w:rPr>
        <w:t>are</w:t>
      </w:r>
      <w:r w:rsidR="00F37ABA" w:rsidRPr="003904F9">
        <w:rPr>
          <w:rFonts w:ascii="Arial" w:eastAsia="Times New Roman" w:hAnsi="Arial" w:cs="Arial"/>
        </w:rPr>
        <w:t xml:space="preserve"> proud to have </w:t>
      </w:r>
      <w:r w:rsidR="001B5514" w:rsidRPr="003904F9">
        <w:rPr>
          <w:rFonts w:ascii="Arial" w:eastAsia="Times New Roman" w:hAnsi="Arial" w:cs="Arial"/>
        </w:rPr>
        <w:t>convene</w:t>
      </w:r>
      <w:r w:rsidR="00F37ABA" w:rsidRPr="003904F9">
        <w:rPr>
          <w:rFonts w:ascii="Arial" w:eastAsia="Times New Roman" w:hAnsi="Arial" w:cs="Arial"/>
        </w:rPr>
        <w:t>d</w:t>
      </w:r>
      <w:r w:rsidR="001B5514" w:rsidRPr="003904F9">
        <w:rPr>
          <w:rFonts w:ascii="Arial" w:eastAsia="Times New Roman" w:hAnsi="Arial" w:cs="Arial"/>
        </w:rPr>
        <w:t xml:space="preserve"> </w:t>
      </w:r>
      <w:r w:rsidR="007C5913" w:rsidRPr="003904F9">
        <w:rPr>
          <w:rFonts w:ascii="Arial" w:eastAsia="Times New Roman" w:hAnsi="Arial" w:cs="Arial"/>
        </w:rPr>
        <w:t xml:space="preserve">four </w:t>
      </w:r>
      <w:r w:rsidRPr="003904F9">
        <w:rPr>
          <w:rFonts w:ascii="Arial" w:eastAsia="Times New Roman" w:hAnsi="Arial" w:cs="Arial"/>
        </w:rPr>
        <w:t xml:space="preserve">state-wide </w:t>
      </w:r>
      <w:r w:rsidR="007C5913" w:rsidRPr="003904F9">
        <w:rPr>
          <w:rFonts w:ascii="Arial" w:eastAsia="Times New Roman" w:hAnsi="Arial" w:cs="Arial"/>
        </w:rPr>
        <w:t xml:space="preserve">multipayer CMMI </w:t>
      </w:r>
      <w:r w:rsidRPr="003904F9">
        <w:rPr>
          <w:rFonts w:ascii="Arial" w:eastAsia="Times New Roman" w:hAnsi="Arial" w:cs="Arial"/>
        </w:rPr>
        <w:t>demonstrations</w:t>
      </w:r>
      <w:r w:rsidR="00874BD2" w:rsidRPr="003904F9">
        <w:rPr>
          <w:rFonts w:ascii="Arial" w:eastAsia="Times New Roman" w:hAnsi="Arial" w:cs="Arial"/>
        </w:rPr>
        <w:t xml:space="preserve"> in Michigan</w:t>
      </w:r>
      <w:r w:rsidR="00786FBE" w:rsidRPr="003904F9">
        <w:rPr>
          <w:rFonts w:ascii="Arial" w:eastAsia="Times New Roman" w:hAnsi="Arial" w:cs="Arial"/>
        </w:rPr>
        <w:t>, including</w:t>
      </w:r>
      <w:r w:rsidR="00DA6531" w:rsidRPr="003904F9">
        <w:rPr>
          <w:rFonts w:ascii="Arial" w:eastAsia="Times New Roman" w:hAnsi="Arial" w:cs="Arial"/>
        </w:rPr>
        <w:t xml:space="preserve"> our 2012-2017 Michigan Primary Care Transformation (MiPCT) program that </w:t>
      </w:r>
      <w:r w:rsidR="00F43EF4" w:rsidRPr="003904F9">
        <w:rPr>
          <w:rFonts w:ascii="Arial" w:eastAsia="Times New Roman" w:hAnsi="Arial" w:cs="Arial"/>
        </w:rPr>
        <w:t xml:space="preserve">produced </w:t>
      </w:r>
      <w:r w:rsidR="00874BD2" w:rsidRPr="003904F9">
        <w:rPr>
          <w:rFonts w:ascii="Arial" w:eastAsia="Times New Roman" w:hAnsi="Arial" w:cs="Arial"/>
        </w:rPr>
        <w:t xml:space="preserve">well over $75M dollars </w:t>
      </w:r>
      <w:r w:rsidR="00F43EF4" w:rsidRPr="003904F9">
        <w:rPr>
          <w:rFonts w:ascii="Arial" w:eastAsia="Times New Roman" w:hAnsi="Arial" w:cs="Arial"/>
        </w:rPr>
        <w:t>in net savings for Medicare</w:t>
      </w:r>
      <w:r w:rsidR="0072158A" w:rsidRPr="003904F9">
        <w:rPr>
          <w:rStyle w:val="FootnoteReference"/>
          <w:rFonts w:ascii="Arial" w:eastAsia="Times New Roman" w:hAnsi="Arial" w:cs="Arial"/>
        </w:rPr>
        <w:footnoteReference w:id="2"/>
      </w:r>
      <w:r w:rsidR="00786FBE" w:rsidRPr="003904F9">
        <w:rPr>
          <w:rFonts w:ascii="Arial" w:eastAsia="Times New Roman" w:hAnsi="Arial" w:cs="Arial"/>
        </w:rPr>
        <w:t xml:space="preserve">. </w:t>
      </w:r>
      <w:r w:rsidR="00874BD2" w:rsidRPr="003904F9">
        <w:rPr>
          <w:rFonts w:ascii="Arial" w:eastAsia="Times New Roman" w:hAnsi="Arial" w:cs="Arial"/>
        </w:rPr>
        <w:t>In short, w</w:t>
      </w:r>
      <w:r w:rsidR="00786FBE" w:rsidRPr="003904F9">
        <w:rPr>
          <w:rFonts w:ascii="Arial" w:eastAsia="Times New Roman" w:hAnsi="Arial" w:cs="Arial"/>
        </w:rPr>
        <w:t>e</w:t>
      </w:r>
      <w:r w:rsidR="00F37ABA" w:rsidRPr="003904F9">
        <w:rPr>
          <w:rFonts w:ascii="Arial" w:eastAsia="Times New Roman" w:hAnsi="Arial" w:cs="Arial"/>
        </w:rPr>
        <w:t xml:space="preserve"> have </w:t>
      </w:r>
      <w:r w:rsidR="00664588" w:rsidRPr="003904F9">
        <w:rPr>
          <w:rFonts w:ascii="Arial" w:eastAsia="Times New Roman" w:hAnsi="Arial" w:cs="Arial"/>
        </w:rPr>
        <w:t xml:space="preserve">deep </w:t>
      </w:r>
      <w:r w:rsidR="00F37ABA" w:rsidRPr="003904F9">
        <w:rPr>
          <w:rFonts w:ascii="Arial" w:eastAsia="Times New Roman" w:hAnsi="Arial" w:cs="Arial"/>
        </w:rPr>
        <w:t xml:space="preserve">experience with </w:t>
      </w:r>
      <w:r w:rsidR="00F43EF4" w:rsidRPr="003904F9">
        <w:rPr>
          <w:rFonts w:ascii="Arial" w:eastAsia="Times New Roman" w:hAnsi="Arial" w:cs="Arial"/>
        </w:rPr>
        <w:t xml:space="preserve">successfully </w:t>
      </w:r>
      <w:r w:rsidR="001B7987" w:rsidRPr="003904F9">
        <w:rPr>
          <w:rFonts w:ascii="Arial" w:eastAsia="Times New Roman" w:hAnsi="Arial" w:cs="Arial"/>
        </w:rPr>
        <w:t>scaling</w:t>
      </w:r>
      <w:r w:rsidR="006A4949" w:rsidRPr="003904F9">
        <w:rPr>
          <w:rFonts w:ascii="Arial" w:eastAsia="Times New Roman" w:hAnsi="Arial" w:cs="Arial"/>
        </w:rPr>
        <w:t xml:space="preserve"> </w:t>
      </w:r>
      <w:r w:rsidR="001B7987" w:rsidRPr="003904F9">
        <w:rPr>
          <w:rFonts w:ascii="Arial" w:eastAsia="Times New Roman" w:hAnsi="Arial" w:cs="Arial"/>
        </w:rPr>
        <w:t>advanced primary care</w:t>
      </w:r>
      <w:r w:rsidR="005F5A5C" w:rsidRPr="003904F9">
        <w:rPr>
          <w:rFonts w:ascii="Arial" w:eastAsia="Times New Roman" w:hAnsi="Arial" w:cs="Arial"/>
        </w:rPr>
        <w:t xml:space="preserve">. </w:t>
      </w:r>
    </w:p>
    <w:p w14:paraId="3E56C8DA" w14:textId="77777777" w:rsidR="00DA6531" w:rsidRPr="003904F9" w:rsidRDefault="00DA6531" w:rsidP="0090628F">
      <w:pPr>
        <w:rPr>
          <w:rFonts w:ascii="Arial" w:eastAsia="Times New Roman" w:hAnsi="Arial" w:cs="Arial"/>
        </w:rPr>
      </w:pPr>
      <w:r w:rsidRPr="003904F9">
        <w:rPr>
          <w:rFonts w:ascii="Arial" w:hAnsi="Arial" w:cs="Arial"/>
        </w:rPr>
        <w:t>However, i</w:t>
      </w:r>
      <w:r w:rsidR="002C733D" w:rsidRPr="003904F9">
        <w:rPr>
          <w:rFonts w:ascii="Arial" w:hAnsi="Arial" w:cs="Arial"/>
        </w:rPr>
        <w:t>n Michigan today, almost a third of the population lacks access to primary care. Over 30% of current physicians are over 60, and Michigan is only retaining 45% of the resident Graduate Medical Education physicians it trains</w:t>
      </w:r>
      <w:r w:rsidR="0090628F" w:rsidRPr="003904F9">
        <w:rPr>
          <w:rFonts w:ascii="Arial" w:hAnsi="Arial" w:cs="Arial"/>
        </w:rPr>
        <w:t xml:space="preserve">. </w:t>
      </w:r>
      <w:r w:rsidR="002C733D" w:rsidRPr="003904F9">
        <w:rPr>
          <w:rFonts w:ascii="Arial" w:eastAsia="Times New Roman" w:hAnsi="Arial" w:cs="Arial"/>
        </w:rPr>
        <w:t xml:space="preserve">Our state is beset by hospital consolidations that have increased the market power of </w:t>
      </w:r>
      <w:r w:rsidR="0090628F" w:rsidRPr="003904F9">
        <w:rPr>
          <w:rFonts w:ascii="Arial" w:eastAsia="Times New Roman" w:hAnsi="Arial" w:cs="Arial"/>
        </w:rPr>
        <w:t>its three</w:t>
      </w:r>
      <w:r w:rsidR="002C733D" w:rsidRPr="003904F9">
        <w:rPr>
          <w:rFonts w:ascii="Arial" w:eastAsia="Times New Roman" w:hAnsi="Arial" w:cs="Arial"/>
        </w:rPr>
        <w:t xml:space="preserve"> large </w:t>
      </w:r>
      <w:r w:rsidR="0090628F" w:rsidRPr="003904F9">
        <w:rPr>
          <w:rFonts w:ascii="Arial" w:eastAsia="Times New Roman" w:hAnsi="Arial" w:cs="Arial"/>
        </w:rPr>
        <w:t xml:space="preserve">health </w:t>
      </w:r>
      <w:r w:rsidR="002C733D" w:rsidRPr="003904F9">
        <w:rPr>
          <w:rFonts w:ascii="Arial" w:eastAsia="Times New Roman" w:hAnsi="Arial" w:cs="Arial"/>
        </w:rPr>
        <w:t>systems</w:t>
      </w:r>
      <w:r w:rsidR="00BF40F3" w:rsidRPr="003904F9">
        <w:rPr>
          <w:rFonts w:ascii="Arial" w:eastAsia="Times New Roman" w:hAnsi="Arial" w:cs="Arial"/>
        </w:rPr>
        <w:t xml:space="preserve"> </w:t>
      </w:r>
      <w:r w:rsidR="0090628F" w:rsidRPr="003904F9">
        <w:rPr>
          <w:rFonts w:ascii="Arial" w:eastAsia="Times New Roman" w:hAnsi="Arial" w:cs="Arial"/>
        </w:rPr>
        <w:t xml:space="preserve">and reduced the presence and viability of independent </w:t>
      </w:r>
      <w:r w:rsidR="00ED36DE" w:rsidRPr="003904F9">
        <w:rPr>
          <w:rFonts w:ascii="Arial" w:eastAsia="Times New Roman" w:hAnsi="Arial" w:cs="Arial"/>
        </w:rPr>
        <w:t xml:space="preserve">primary care </w:t>
      </w:r>
      <w:r w:rsidR="0090628F" w:rsidRPr="003904F9">
        <w:rPr>
          <w:rFonts w:ascii="Arial" w:eastAsia="Times New Roman" w:hAnsi="Arial" w:cs="Arial"/>
        </w:rPr>
        <w:t>practice</w:t>
      </w:r>
      <w:r w:rsidR="00ED36DE" w:rsidRPr="003904F9">
        <w:rPr>
          <w:rFonts w:ascii="Arial" w:eastAsia="Times New Roman" w:hAnsi="Arial" w:cs="Arial"/>
        </w:rPr>
        <w:t>s</w:t>
      </w:r>
      <w:r w:rsidR="0090628F" w:rsidRPr="003904F9">
        <w:rPr>
          <w:rFonts w:ascii="Arial" w:eastAsia="Times New Roman" w:hAnsi="Arial" w:cs="Arial"/>
        </w:rPr>
        <w:t>.</w:t>
      </w:r>
      <w:r w:rsidR="00ED36DE" w:rsidRPr="003904F9">
        <w:rPr>
          <w:rFonts w:ascii="Arial" w:eastAsia="Times New Roman" w:hAnsi="Arial" w:cs="Arial"/>
        </w:rPr>
        <w:t xml:space="preserve"> </w:t>
      </w:r>
    </w:p>
    <w:p w14:paraId="47574530" w14:textId="37D8005F" w:rsidR="00DA6531" w:rsidRPr="003904F9" w:rsidRDefault="00ED36DE" w:rsidP="00DA6531">
      <w:pPr>
        <w:rPr>
          <w:rFonts w:ascii="Arial" w:hAnsi="Arial" w:cs="Arial"/>
        </w:rPr>
      </w:pPr>
      <w:r w:rsidRPr="003904F9">
        <w:rPr>
          <w:rFonts w:ascii="Arial" w:eastAsia="Times New Roman" w:hAnsi="Arial" w:cs="Arial"/>
        </w:rPr>
        <w:t>CMS is a pacesetter among payers and the way that CMS evolves primary care payment matters a great deal to us.  In this spirit, we submit this comment letter on the proposed 2027 Physician Fee Schedule.</w:t>
      </w:r>
      <w:r w:rsidR="0090628F" w:rsidRPr="003904F9">
        <w:rPr>
          <w:rFonts w:ascii="Arial" w:eastAsia="Times New Roman" w:hAnsi="Arial" w:cs="Arial"/>
        </w:rPr>
        <w:t xml:space="preserve"> </w:t>
      </w:r>
      <w:r w:rsidR="00DA6531" w:rsidRPr="003904F9">
        <w:rPr>
          <w:rFonts w:ascii="Arial" w:eastAsia="Times New Roman" w:hAnsi="Arial" w:cs="Arial"/>
        </w:rPr>
        <w:t xml:space="preserve"> </w:t>
      </w:r>
      <w:r w:rsidR="0090628F" w:rsidRPr="003904F9">
        <w:rPr>
          <w:rFonts w:ascii="Arial" w:hAnsi="Arial" w:cs="Arial"/>
        </w:rPr>
        <w:t xml:space="preserve">We appreciate CMS’ </w:t>
      </w:r>
      <w:r w:rsidR="00DA6531" w:rsidRPr="003904F9">
        <w:rPr>
          <w:rFonts w:ascii="Arial" w:hAnsi="Arial" w:cs="Arial"/>
        </w:rPr>
        <w:t>work</w:t>
      </w:r>
      <w:r w:rsidR="0090628F" w:rsidRPr="003904F9">
        <w:rPr>
          <w:rFonts w:ascii="Arial" w:hAnsi="Arial" w:cs="Arial"/>
        </w:rPr>
        <w:t xml:space="preserve"> over the last few years to better recognize and reward the work of primary care providers</w:t>
      </w:r>
      <w:r w:rsidR="00DA6531" w:rsidRPr="003904F9">
        <w:rPr>
          <w:rFonts w:ascii="Arial" w:hAnsi="Arial" w:cs="Arial"/>
        </w:rPr>
        <w:t xml:space="preserve">, especially those in independent practice. We </w:t>
      </w:r>
      <w:r w:rsidR="00440C4B" w:rsidRPr="003904F9">
        <w:rPr>
          <w:rFonts w:ascii="Arial" w:hAnsi="Arial" w:cs="Arial"/>
        </w:rPr>
        <w:t xml:space="preserve">applaud CMS’ focus in the </w:t>
      </w:r>
      <w:proofErr w:type="gramStart"/>
      <w:r w:rsidR="00440C4B" w:rsidRPr="003904F9">
        <w:rPr>
          <w:rFonts w:ascii="Arial" w:hAnsi="Arial" w:cs="Arial"/>
        </w:rPr>
        <w:t>2027 proposed</w:t>
      </w:r>
      <w:proofErr w:type="gramEnd"/>
      <w:r w:rsidR="00440C4B" w:rsidRPr="003904F9">
        <w:rPr>
          <w:rFonts w:ascii="Arial" w:hAnsi="Arial" w:cs="Arial"/>
        </w:rPr>
        <w:t xml:space="preserve"> rule on </w:t>
      </w:r>
      <w:r w:rsidR="00440C4B" w:rsidRPr="003904F9">
        <w:rPr>
          <w:rFonts w:ascii="Arial" w:hAnsi="Arial" w:cs="Arial"/>
        </w:rPr>
        <w:lastRenderedPageBreak/>
        <w:t>fostering longitudinal relationships</w:t>
      </w:r>
      <w:r w:rsidR="004C373A" w:rsidRPr="003904F9">
        <w:rPr>
          <w:rFonts w:ascii="Arial" w:hAnsi="Arial" w:cs="Arial"/>
        </w:rPr>
        <w:t xml:space="preserve"> as part of a </w:t>
      </w:r>
      <w:proofErr w:type="gramStart"/>
      <w:r w:rsidR="004C373A" w:rsidRPr="003904F9">
        <w:rPr>
          <w:rFonts w:ascii="Arial" w:hAnsi="Arial" w:cs="Arial"/>
        </w:rPr>
        <w:t>longer term</w:t>
      </w:r>
      <w:proofErr w:type="gramEnd"/>
      <w:r w:rsidR="004C373A" w:rsidRPr="003904F9">
        <w:rPr>
          <w:rFonts w:ascii="Arial" w:hAnsi="Arial" w:cs="Arial"/>
        </w:rPr>
        <w:t xml:space="preserve"> plan to better resource primary care</w:t>
      </w:r>
      <w:r w:rsidR="00DA6531" w:rsidRPr="003904F9">
        <w:rPr>
          <w:rFonts w:ascii="Arial" w:hAnsi="Arial" w:cs="Arial"/>
        </w:rPr>
        <w:t>.</w:t>
      </w:r>
      <w:r w:rsidR="004C373A" w:rsidRPr="003904F9">
        <w:rPr>
          <w:rFonts w:ascii="Arial" w:hAnsi="Arial" w:cs="Arial"/>
        </w:rPr>
        <w:t xml:space="preserve"> </w:t>
      </w:r>
      <w:r w:rsidRPr="003904F9">
        <w:rPr>
          <w:rFonts w:ascii="Arial" w:hAnsi="Arial" w:cs="Arial"/>
        </w:rPr>
        <w:t xml:space="preserve"> </w:t>
      </w:r>
    </w:p>
    <w:p w14:paraId="588E74EB" w14:textId="77777777" w:rsidR="00DA6531" w:rsidRPr="003904F9" w:rsidRDefault="00DA6531" w:rsidP="00807AF9">
      <w:pPr>
        <w:spacing w:after="160"/>
        <w:rPr>
          <w:rFonts w:ascii="Arial" w:hAnsi="Arial" w:cs="Arial"/>
        </w:rPr>
      </w:pPr>
    </w:p>
    <w:p w14:paraId="6A02CFD2" w14:textId="77777777" w:rsidR="00543989" w:rsidRPr="003904F9" w:rsidRDefault="00543989" w:rsidP="00543989">
      <w:pPr>
        <w:spacing w:after="160"/>
        <w:rPr>
          <w:rFonts w:ascii="Arial" w:eastAsia="Times New Roman" w:hAnsi="Arial" w:cs="Arial"/>
        </w:rPr>
      </w:pPr>
      <w:r w:rsidRPr="003904F9">
        <w:rPr>
          <w:rFonts w:ascii="Arial" w:eastAsia="Times New Roman" w:hAnsi="Arial" w:cs="Arial"/>
        </w:rPr>
        <w:t xml:space="preserve">We are strong believers that CMS must transition Traditional Medicare payment for primary care to a hybrid payment model that provides practices with prospective funding needed to have the interprofessional and technological resources at hand to deliver upon its promise and potential. This is important for patients and it is an important tool in the quest to steward Medicare resources for the future. The sickness-focused system that is our country’s healthcare legacy cannot be our future.  We are grateful for the progress that CMS has made in encouraging accountable care relationships that clearly link a patient with a provider who will oversee their care journey. Through Accountable Care Organizations and Advanced Primary Care Management you have made good progress and it is important that this work continues to grow. </w:t>
      </w:r>
    </w:p>
    <w:p w14:paraId="1D194914" w14:textId="3D3221B0" w:rsidR="00440C4B" w:rsidRPr="003904F9" w:rsidRDefault="00ED36DE" w:rsidP="00807AF9">
      <w:pPr>
        <w:spacing w:after="160"/>
        <w:rPr>
          <w:rFonts w:ascii="Arial" w:hAnsi="Arial" w:cs="Arial"/>
        </w:rPr>
      </w:pPr>
      <w:r w:rsidRPr="003904F9">
        <w:rPr>
          <w:rFonts w:ascii="Arial" w:hAnsi="Arial" w:cs="Arial"/>
        </w:rPr>
        <w:t>Below we offer</w:t>
      </w:r>
      <w:r w:rsidR="00543989" w:rsidRPr="003904F9">
        <w:rPr>
          <w:rFonts w:ascii="Arial" w:hAnsi="Arial" w:cs="Arial"/>
        </w:rPr>
        <w:t xml:space="preserve">: 1) recommendations on </w:t>
      </w:r>
      <w:r w:rsidRPr="003904F9">
        <w:rPr>
          <w:rFonts w:ascii="Arial" w:hAnsi="Arial" w:cs="Arial"/>
        </w:rPr>
        <w:t>the 2027 draft rule</w:t>
      </w:r>
      <w:r w:rsidR="00543989" w:rsidRPr="003904F9">
        <w:rPr>
          <w:rFonts w:ascii="Arial" w:hAnsi="Arial" w:cs="Arial"/>
        </w:rPr>
        <w:t xml:space="preserve">, and 2) a </w:t>
      </w:r>
      <w:r w:rsidRPr="003904F9">
        <w:rPr>
          <w:rFonts w:ascii="Arial" w:hAnsi="Arial" w:cs="Arial"/>
        </w:rPr>
        <w:t>respon</w:t>
      </w:r>
      <w:r w:rsidR="00543989" w:rsidRPr="003904F9">
        <w:rPr>
          <w:rFonts w:ascii="Arial" w:hAnsi="Arial" w:cs="Arial"/>
        </w:rPr>
        <w:t>se</w:t>
      </w:r>
      <w:r w:rsidRPr="003904F9">
        <w:rPr>
          <w:rFonts w:ascii="Arial" w:hAnsi="Arial" w:cs="Arial"/>
        </w:rPr>
        <w:t xml:space="preserve"> to the primary care payment RFI</w:t>
      </w:r>
      <w:r w:rsidR="00543989" w:rsidRPr="003904F9">
        <w:rPr>
          <w:rFonts w:ascii="Arial" w:hAnsi="Arial" w:cs="Arial"/>
        </w:rPr>
        <w:t>. They both offer</w:t>
      </w:r>
      <w:r w:rsidRPr="003904F9">
        <w:rPr>
          <w:rFonts w:ascii="Arial" w:hAnsi="Arial" w:cs="Arial"/>
        </w:rPr>
        <w:t xml:space="preserve"> ideas to lift up primary care in a way that brings value to both patients and stewards the Medicare Trust Fund wisely. </w:t>
      </w:r>
    </w:p>
    <w:p w14:paraId="24353F73" w14:textId="7F439E5D" w:rsidR="005E0D0C" w:rsidRPr="003904F9" w:rsidRDefault="00543989" w:rsidP="00B3779C">
      <w:pPr>
        <w:pStyle w:val="ListParagraph"/>
        <w:numPr>
          <w:ilvl w:val="0"/>
          <w:numId w:val="37"/>
        </w:numPr>
        <w:spacing w:after="160"/>
        <w:rPr>
          <w:rFonts w:ascii="Arial" w:eastAsia="Times New Roman" w:hAnsi="Arial" w:cs="Arial"/>
        </w:rPr>
      </w:pPr>
      <w:r w:rsidRPr="003904F9">
        <w:rPr>
          <w:rFonts w:ascii="Arial" w:eastAsia="Times New Roman" w:hAnsi="Arial" w:cs="Arial"/>
          <w:b/>
          <w:bCs/>
          <w:u w:val="single"/>
        </w:rPr>
        <w:t>Recommendations</w:t>
      </w:r>
      <w:r w:rsidR="005E0D0C" w:rsidRPr="003904F9">
        <w:rPr>
          <w:rFonts w:ascii="Arial" w:eastAsia="Times New Roman" w:hAnsi="Arial" w:cs="Arial"/>
          <w:b/>
          <w:bCs/>
          <w:u w:val="single"/>
        </w:rPr>
        <w:t xml:space="preserve"> on</w:t>
      </w:r>
      <w:r w:rsidRPr="003904F9">
        <w:rPr>
          <w:rFonts w:ascii="Arial" w:eastAsia="Times New Roman" w:hAnsi="Arial" w:cs="Arial"/>
          <w:b/>
          <w:bCs/>
          <w:u w:val="single"/>
        </w:rPr>
        <w:t xml:space="preserve"> the </w:t>
      </w:r>
      <w:r w:rsidR="005E0D0C" w:rsidRPr="003904F9">
        <w:rPr>
          <w:rFonts w:ascii="Arial" w:eastAsia="Times New Roman" w:hAnsi="Arial" w:cs="Arial"/>
          <w:b/>
          <w:bCs/>
          <w:u w:val="single"/>
        </w:rPr>
        <w:t>2027 Proposed PFS Components</w:t>
      </w:r>
    </w:p>
    <w:p w14:paraId="5C5421FD" w14:textId="1CD57487" w:rsidR="00ED36DE" w:rsidRPr="003904F9" w:rsidRDefault="00A52BC1" w:rsidP="00ED36DE">
      <w:pPr>
        <w:spacing w:after="160"/>
        <w:rPr>
          <w:rFonts w:ascii="Arial" w:eastAsia="Times New Roman" w:hAnsi="Arial" w:cs="Arial"/>
        </w:rPr>
      </w:pPr>
      <w:r w:rsidRPr="003904F9">
        <w:rPr>
          <w:rFonts w:ascii="Arial" w:eastAsia="Times New Roman" w:hAnsi="Arial" w:cs="Arial"/>
        </w:rPr>
        <w:t>T</w:t>
      </w:r>
      <w:r w:rsidR="00ED36DE" w:rsidRPr="003904F9">
        <w:rPr>
          <w:rFonts w:ascii="Arial" w:eastAsia="Times New Roman" w:hAnsi="Arial" w:cs="Arial"/>
        </w:rPr>
        <w:t xml:space="preserve">here are several components of the 2027 draft that we think are very promising for primary care practices </w:t>
      </w:r>
      <w:r w:rsidRPr="003904F9">
        <w:rPr>
          <w:rFonts w:ascii="Arial" w:eastAsia="Times New Roman" w:hAnsi="Arial" w:cs="Arial"/>
        </w:rPr>
        <w:t xml:space="preserve">who are </w:t>
      </w:r>
      <w:r w:rsidR="00ED36DE" w:rsidRPr="003904F9">
        <w:rPr>
          <w:rFonts w:ascii="Arial" w:eastAsia="Times New Roman" w:hAnsi="Arial" w:cs="Arial"/>
        </w:rPr>
        <w:t>working hard to provide effective, efficient, patient-centered whole person care</w:t>
      </w:r>
      <w:r w:rsidR="00EB5629" w:rsidRPr="003904F9">
        <w:rPr>
          <w:rFonts w:ascii="Arial" w:eastAsia="Times New Roman" w:hAnsi="Arial" w:cs="Arial"/>
        </w:rPr>
        <w:t xml:space="preserve"> and others that could be improved with refinement to the proposed language</w:t>
      </w:r>
      <w:r w:rsidRPr="003904F9">
        <w:rPr>
          <w:rFonts w:ascii="Arial" w:eastAsia="Times New Roman" w:hAnsi="Arial" w:cs="Arial"/>
        </w:rPr>
        <w:t xml:space="preserve"> as follows:</w:t>
      </w:r>
      <w:r w:rsidR="00ED36DE" w:rsidRPr="003904F9">
        <w:rPr>
          <w:rFonts w:ascii="Arial" w:eastAsia="Times New Roman" w:hAnsi="Arial" w:cs="Arial"/>
        </w:rPr>
        <w:t xml:space="preserve"> </w:t>
      </w:r>
    </w:p>
    <w:p w14:paraId="632D3679" w14:textId="4192E206" w:rsidR="00E147C7" w:rsidRPr="003904F9" w:rsidRDefault="00A53292" w:rsidP="002909D8">
      <w:pPr>
        <w:pStyle w:val="ListParagraph"/>
        <w:numPr>
          <w:ilvl w:val="0"/>
          <w:numId w:val="29"/>
        </w:numPr>
        <w:spacing w:after="160"/>
        <w:rPr>
          <w:rFonts w:ascii="Arial" w:eastAsia="Times New Roman" w:hAnsi="Arial" w:cs="Arial"/>
        </w:rPr>
      </w:pPr>
      <w:r>
        <w:rPr>
          <w:rFonts w:ascii="Arial" w:eastAsia="Times New Roman" w:hAnsi="Arial" w:cs="Arial"/>
          <w:b/>
          <w:bCs/>
        </w:rPr>
        <w:t>Waiving</w:t>
      </w:r>
      <w:r w:rsidR="00E147C7" w:rsidRPr="003904F9">
        <w:rPr>
          <w:rFonts w:ascii="Arial" w:eastAsia="Times New Roman" w:hAnsi="Arial" w:cs="Arial"/>
          <w:b/>
          <w:bCs/>
        </w:rPr>
        <w:t xml:space="preserve"> </w:t>
      </w:r>
      <w:r w:rsidR="00B3779C" w:rsidRPr="003904F9">
        <w:rPr>
          <w:rFonts w:ascii="Arial" w:eastAsia="Times New Roman" w:hAnsi="Arial" w:cs="Arial"/>
          <w:b/>
          <w:bCs/>
        </w:rPr>
        <w:t xml:space="preserve">Patient Cost-Sharing </w:t>
      </w:r>
      <w:r>
        <w:rPr>
          <w:rFonts w:ascii="Arial" w:eastAsia="Times New Roman" w:hAnsi="Arial" w:cs="Arial"/>
          <w:b/>
          <w:bCs/>
        </w:rPr>
        <w:t>in</w:t>
      </w:r>
      <w:r w:rsidR="00B3779C" w:rsidRPr="003904F9">
        <w:rPr>
          <w:rFonts w:ascii="Arial" w:eastAsia="Times New Roman" w:hAnsi="Arial" w:cs="Arial"/>
          <w:b/>
          <w:bCs/>
        </w:rPr>
        <w:t xml:space="preserve"> </w:t>
      </w:r>
      <w:r w:rsidR="00E147C7" w:rsidRPr="003904F9">
        <w:rPr>
          <w:rFonts w:ascii="Arial" w:eastAsia="Times New Roman" w:hAnsi="Arial" w:cs="Arial"/>
          <w:b/>
          <w:bCs/>
        </w:rPr>
        <w:t>the Advanced Primary Care Management (APCM) Codes</w:t>
      </w:r>
      <w:r w:rsidR="00E147C7" w:rsidRPr="003904F9">
        <w:rPr>
          <w:rFonts w:ascii="Arial" w:eastAsia="Times New Roman" w:hAnsi="Arial" w:cs="Arial"/>
        </w:rPr>
        <w:t xml:space="preserve"> </w:t>
      </w:r>
      <w:r w:rsidR="00E147C7" w:rsidRPr="003904F9">
        <w:rPr>
          <w:rFonts w:ascii="Arial" w:eastAsia="Times New Roman" w:hAnsi="Arial" w:cs="Arial"/>
          <w:b/>
          <w:bCs/>
        </w:rPr>
        <w:t xml:space="preserve">and Add-On Behavioral Health Integration (BHI) codes -- </w:t>
      </w:r>
      <w:r w:rsidR="00E147C7" w:rsidRPr="003904F9">
        <w:rPr>
          <w:rFonts w:ascii="Arial" w:eastAsia="Times New Roman" w:hAnsi="Arial" w:cs="Arial"/>
        </w:rPr>
        <w:t xml:space="preserve">The APCM codes and their BHI add-on codes are a wonderful step forward in </w:t>
      </w:r>
      <w:r w:rsidR="00DA1127" w:rsidRPr="003904F9">
        <w:rPr>
          <w:rFonts w:ascii="Arial" w:eastAsia="Times New Roman" w:hAnsi="Arial" w:cs="Arial"/>
        </w:rPr>
        <w:t>encouraging team-based and longitudinal patient relationships</w:t>
      </w:r>
      <w:r w:rsidR="00E147C7" w:rsidRPr="003904F9">
        <w:rPr>
          <w:rFonts w:ascii="Arial" w:eastAsia="Times New Roman" w:hAnsi="Arial" w:cs="Arial"/>
        </w:rPr>
        <w:t xml:space="preserve">.  They provide a chassis for other payers to leverage in implementing hybrid payment for primary care in their own plans. </w:t>
      </w:r>
      <w:r w:rsidR="00DA1127" w:rsidRPr="003904F9">
        <w:rPr>
          <w:rFonts w:ascii="Arial" w:eastAsia="Times New Roman" w:hAnsi="Arial" w:cs="Arial"/>
        </w:rPr>
        <w:t xml:space="preserve">APCM is a way to provide practices with prospective funding to resource care management and coordination. </w:t>
      </w:r>
      <w:r w:rsidR="00E147C7" w:rsidRPr="003904F9">
        <w:rPr>
          <w:rFonts w:ascii="Arial" w:eastAsia="Times New Roman" w:hAnsi="Arial" w:cs="Arial"/>
        </w:rPr>
        <w:t xml:space="preserve">The existence of patient cost-sharing for APCM codes cripples their potential.  Cost-sharing for APCM is </w:t>
      </w:r>
      <w:r w:rsidR="00DA1127" w:rsidRPr="003904F9">
        <w:rPr>
          <w:rFonts w:ascii="Arial" w:eastAsia="Times New Roman" w:hAnsi="Arial" w:cs="Arial"/>
        </w:rPr>
        <w:t xml:space="preserve">administratively difficult and </w:t>
      </w:r>
      <w:r w:rsidR="002909D8" w:rsidRPr="003904F9">
        <w:rPr>
          <w:rFonts w:ascii="Arial" w:eastAsia="Times New Roman" w:hAnsi="Arial" w:cs="Arial"/>
        </w:rPr>
        <w:t xml:space="preserve">even after patients consent to APCM participation, can easily be confused </w:t>
      </w:r>
      <w:r w:rsidR="00DE3EF4" w:rsidRPr="003904F9">
        <w:rPr>
          <w:rFonts w:ascii="Arial" w:eastAsia="Times New Roman" w:hAnsi="Arial" w:cs="Arial"/>
        </w:rPr>
        <w:t xml:space="preserve">by seeing the code appear each month on explanation of benefits or billing statements. Patients are </w:t>
      </w:r>
      <w:r w:rsidR="00CB1AAB" w:rsidRPr="003904F9">
        <w:rPr>
          <w:rFonts w:ascii="Arial" w:eastAsia="Times New Roman" w:hAnsi="Arial" w:cs="Arial"/>
        </w:rPr>
        <w:t xml:space="preserve">used to anchoring a </w:t>
      </w:r>
      <w:r w:rsidR="00E147C7" w:rsidRPr="003904F9">
        <w:rPr>
          <w:rFonts w:ascii="Arial" w:eastAsia="Times New Roman" w:hAnsi="Arial" w:cs="Arial"/>
        </w:rPr>
        <w:t xml:space="preserve">service encounter </w:t>
      </w:r>
      <w:r w:rsidR="00CB1AAB" w:rsidRPr="003904F9">
        <w:rPr>
          <w:rFonts w:ascii="Arial" w:eastAsia="Times New Roman" w:hAnsi="Arial" w:cs="Arial"/>
        </w:rPr>
        <w:t xml:space="preserve">to </w:t>
      </w:r>
      <w:r w:rsidR="00DE3EF4" w:rsidRPr="003904F9">
        <w:rPr>
          <w:rFonts w:ascii="Arial" w:eastAsia="Times New Roman" w:hAnsi="Arial" w:cs="Arial"/>
        </w:rPr>
        <w:t>a</w:t>
      </w:r>
      <w:r w:rsidR="00CB1AAB" w:rsidRPr="003904F9">
        <w:rPr>
          <w:rFonts w:ascii="Arial" w:eastAsia="Times New Roman" w:hAnsi="Arial" w:cs="Arial"/>
        </w:rPr>
        <w:t xml:space="preserve"> charge</w:t>
      </w:r>
      <w:r w:rsidR="002A5049" w:rsidRPr="003904F9">
        <w:rPr>
          <w:rFonts w:ascii="Arial" w:eastAsia="Times New Roman" w:hAnsi="Arial" w:cs="Arial"/>
        </w:rPr>
        <w:t xml:space="preserve"> even though a</w:t>
      </w:r>
      <w:r w:rsidR="00E147C7" w:rsidRPr="003904F9">
        <w:rPr>
          <w:rFonts w:ascii="Arial" w:eastAsia="Times New Roman" w:hAnsi="Arial" w:cs="Arial"/>
        </w:rPr>
        <w:t xml:space="preserve"> good part of APCM work is done behind the scenes and may not require an actual encounter</w:t>
      </w:r>
      <w:r w:rsidR="00DE3EF4" w:rsidRPr="003904F9">
        <w:rPr>
          <w:rFonts w:ascii="Arial" w:eastAsia="Times New Roman" w:hAnsi="Arial" w:cs="Arial"/>
        </w:rPr>
        <w:t xml:space="preserve"> in a particular month</w:t>
      </w:r>
      <w:r w:rsidR="00E147C7" w:rsidRPr="003904F9">
        <w:rPr>
          <w:rFonts w:ascii="Arial" w:eastAsia="Times New Roman" w:hAnsi="Arial" w:cs="Arial"/>
        </w:rPr>
        <w:t xml:space="preserve">. </w:t>
      </w:r>
      <w:r w:rsidR="002A5049" w:rsidRPr="003904F9">
        <w:rPr>
          <w:rFonts w:ascii="Arial" w:eastAsia="Times New Roman" w:hAnsi="Arial" w:cs="Arial"/>
        </w:rPr>
        <w:t xml:space="preserve"> </w:t>
      </w:r>
      <w:r w:rsidR="00DE3EF4" w:rsidRPr="003904F9">
        <w:rPr>
          <w:rFonts w:ascii="Arial" w:eastAsia="Times New Roman" w:hAnsi="Arial" w:cs="Arial"/>
        </w:rPr>
        <w:t xml:space="preserve">This can become a barrier to provider willingness to use the code as well. The APCM code is at the heart of accountable care and CMS should work to relieve it of cost-sharing and must work to spread its use so that its potential may be achieved. </w:t>
      </w:r>
      <w:r w:rsidR="00E147C7" w:rsidRPr="003904F9">
        <w:rPr>
          <w:rFonts w:ascii="Arial" w:eastAsia="Times New Roman" w:hAnsi="Arial" w:cs="Arial"/>
        </w:rPr>
        <w:t>The funding</w:t>
      </w:r>
      <w:r w:rsidR="002A5049" w:rsidRPr="003904F9">
        <w:rPr>
          <w:rFonts w:ascii="Arial" w:eastAsia="Times New Roman" w:hAnsi="Arial" w:cs="Arial"/>
        </w:rPr>
        <w:t xml:space="preserve"> offset </w:t>
      </w:r>
      <w:r w:rsidR="00E147C7" w:rsidRPr="003904F9">
        <w:rPr>
          <w:rFonts w:ascii="Arial" w:eastAsia="Times New Roman" w:hAnsi="Arial" w:cs="Arial"/>
        </w:rPr>
        <w:t xml:space="preserve">to waive </w:t>
      </w:r>
      <w:r w:rsidR="002A5049" w:rsidRPr="003904F9">
        <w:rPr>
          <w:rFonts w:ascii="Arial" w:eastAsia="Times New Roman" w:hAnsi="Arial" w:cs="Arial"/>
        </w:rPr>
        <w:t xml:space="preserve">patient </w:t>
      </w:r>
      <w:r w:rsidR="00E147C7" w:rsidRPr="003904F9">
        <w:rPr>
          <w:rFonts w:ascii="Arial" w:eastAsia="Times New Roman" w:hAnsi="Arial" w:cs="Arial"/>
        </w:rPr>
        <w:t>cost-sharing</w:t>
      </w:r>
      <w:r w:rsidR="002A5049" w:rsidRPr="003904F9">
        <w:rPr>
          <w:rFonts w:ascii="Arial" w:eastAsia="Times New Roman" w:hAnsi="Arial" w:cs="Arial"/>
        </w:rPr>
        <w:t xml:space="preserve"> for APCM </w:t>
      </w:r>
      <w:r w:rsidR="00E147C7" w:rsidRPr="003904F9">
        <w:rPr>
          <w:rFonts w:ascii="Arial" w:eastAsia="Times New Roman" w:hAnsi="Arial" w:cs="Arial"/>
        </w:rPr>
        <w:t xml:space="preserve">could spring from the </w:t>
      </w:r>
      <w:r w:rsidR="006F5D92" w:rsidRPr="003904F9">
        <w:rPr>
          <w:rFonts w:ascii="Arial" w:eastAsia="Times New Roman" w:hAnsi="Arial" w:cs="Arial"/>
        </w:rPr>
        <w:t>$2.5B</w:t>
      </w:r>
      <w:r w:rsidR="006F5D92" w:rsidRPr="003904F9">
        <w:rPr>
          <w:rStyle w:val="FootnoteReference"/>
          <w:rFonts w:ascii="Arial" w:eastAsia="Times New Roman" w:hAnsi="Arial" w:cs="Arial"/>
        </w:rPr>
        <w:footnoteReference w:id="3"/>
      </w:r>
      <w:r w:rsidR="006F5D92" w:rsidRPr="003904F9">
        <w:rPr>
          <w:rFonts w:ascii="Arial" w:eastAsia="Times New Roman" w:hAnsi="Arial" w:cs="Arial"/>
        </w:rPr>
        <w:t xml:space="preserve"> freed up by procedure revaluation</w:t>
      </w:r>
      <w:r w:rsidR="00803915" w:rsidRPr="003904F9">
        <w:rPr>
          <w:rFonts w:ascii="Arial" w:eastAsia="Times New Roman" w:hAnsi="Arial" w:cs="Arial"/>
        </w:rPr>
        <w:t xml:space="preserve"> </w:t>
      </w:r>
      <w:r w:rsidR="00C61AFD" w:rsidRPr="003904F9">
        <w:rPr>
          <w:rFonts w:ascii="Arial" w:eastAsia="Times New Roman" w:hAnsi="Arial" w:cs="Arial"/>
        </w:rPr>
        <w:t>that uses</w:t>
      </w:r>
      <w:r w:rsidR="00803915" w:rsidRPr="003904F9">
        <w:rPr>
          <w:rFonts w:ascii="Arial" w:eastAsia="Times New Roman" w:hAnsi="Arial" w:cs="Arial"/>
        </w:rPr>
        <w:t xml:space="preserve"> more accurate cost data</w:t>
      </w:r>
      <w:r w:rsidR="00C61AFD" w:rsidRPr="003904F9">
        <w:rPr>
          <w:rFonts w:ascii="Arial" w:eastAsia="Times New Roman" w:hAnsi="Arial" w:cs="Arial"/>
        </w:rPr>
        <w:t xml:space="preserve"> such as that contained in</w:t>
      </w:r>
      <w:r w:rsidR="00803915" w:rsidRPr="003904F9">
        <w:rPr>
          <w:rFonts w:ascii="Arial" w:eastAsia="Times New Roman" w:hAnsi="Arial" w:cs="Arial"/>
        </w:rPr>
        <w:t xml:space="preserve"> </w:t>
      </w:r>
      <w:r w:rsidR="006F5D92" w:rsidRPr="003904F9">
        <w:rPr>
          <w:rFonts w:ascii="Arial" w:eastAsia="Times New Roman" w:hAnsi="Arial" w:cs="Arial"/>
        </w:rPr>
        <w:t>all-payer claims data bases</w:t>
      </w:r>
      <w:r w:rsidR="006F5D92" w:rsidRPr="003904F9">
        <w:rPr>
          <w:rStyle w:val="FootnoteReference"/>
          <w:rFonts w:ascii="Arial" w:eastAsia="Times New Roman" w:hAnsi="Arial" w:cs="Arial"/>
        </w:rPr>
        <w:footnoteReference w:id="4"/>
      </w:r>
      <w:r w:rsidR="006F5D92" w:rsidRPr="003904F9">
        <w:rPr>
          <w:rFonts w:ascii="Arial" w:eastAsia="Times New Roman" w:hAnsi="Arial" w:cs="Arial"/>
        </w:rPr>
        <w:t xml:space="preserve">. </w:t>
      </w:r>
      <w:r w:rsidR="00097A84" w:rsidRPr="003904F9">
        <w:rPr>
          <w:rFonts w:ascii="Arial" w:eastAsia="Times New Roman" w:hAnsi="Arial" w:cs="Arial"/>
        </w:rPr>
        <w:br/>
      </w:r>
    </w:p>
    <w:p w14:paraId="6922A168" w14:textId="27A54D2B" w:rsidR="00280FF9" w:rsidRPr="003904F9" w:rsidRDefault="00401CB6" w:rsidP="00A52BC1">
      <w:pPr>
        <w:pStyle w:val="ListParagraph"/>
        <w:numPr>
          <w:ilvl w:val="0"/>
          <w:numId w:val="29"/>
        </w:numPr>
        <w:spacing w:after="160"/>
        <w:rPr>
          <w:rFonts w:ascii="Arial" w:eastAsia="Times New Roman" w:hAnsi="Arial" w:cs="Arial"/>
        </w:rPr>
      </w:pPr>
      <w:r w:rsidRPr="003904F9">
        <w:rPr>
          <w:rFonts w:ascii="Arial" w:eastAsia="Times New Roman" w:hAnsi="Arial" w:cs="Arial"/>
          <w:b/>
          <w:bCs/>
        </w:rPr>
        <w:t xml:space="preserve">Changing </w:t>
      </w:r>
      <w:r w:rsidR="00ED36DE" w:rsidRPr="003904F9">
        <w:rPr>
          <w:rFonts w:ascii="Arial" w:eastAsia="Times New Roman" w:hAnsi="Arial" w:cs="Arial"/>
          <w:b/>
          <w:bCs/>
        </w:rPr>
        <w:t xml:space="preserve">G2211 </w:t>
      </w:r>
      <w:r w:rsidRPr="003904F9">
        <w:rPr>
          <w:rFonts w:ascii="Arial" w:eastAsia="Times New Roman" w:hAnsi="Arial" w:cs="Arial"/>
          <w:b/>
          <w:bCs/>
        </w:rPr>
        <w:t>from a Code to a Modifier</w:t>
      </w:r>
      <w:r w:rsidR="002909D8" w:rsidRPr="003904F9">
        <w:rPr>
          <w:rFonts w:ascii="Arial" w:eastAsia="Times New Roman" w:hAnsi="Arial" w:cs="Arial"/>
          <w:b/>
          <w:bCs/>
        </w:rPr>
        <w:t xml:space="preserve"> and Emphasizing Its Role for Rewarding Longitudinal Care</w:t>
      </w:r>
      <w:r w:rsidR="00ED36DE" w:rsidRPr="003904F9">
        <w:rPr>
          <w:rFonts w:ascii="Arial" w:eastAsia="Times New Roman" w:hAnsi="Arial" w:cs="Arial"/>
        </w:rPr>
        <w:t xml:space="preserve"> </w:t>
      </w:r>
      <w:r w:rsidR="00584505" w:rsidRPr="003904F9">
        <w:rPr>
          <w:rFonts w:ascii="Arial" w:eastAsia="Times New Roman" w:hAnsi="Arial" w:cs="Arial"/>
        </w:rPr>
        <w:t>–</w:t>
      </w:r>
      <w:r w:rsidR="00ED36DE" w:rsidRPr="003904F9">
        <w:rPr>
          <w:rFonts w:ascii="Arial" w:eastAsia="Times New Roman" w:hAnsi="Arial" w:cs="Arial"/>
        </w:rPr>
        <w:t xml:space="preserve"> </w:t>
      </w:r>
      <w:r w:rsidR="00584505" w:rsidRPr="003904F9">
        <w:rPr>
          <w:rFonts w:ascii="Arial" w:eastAsia="Times New Roman" w:hAnsi="Arial" w:cs="Arial"/>
        </w:rPr>
        <w:t>We support c</w:t>
      </w:r>
      <w:r w:rsidR="00ED36DE" w:rsidRPr="003904F9">
        <w:rPr>
          <w:rFonts w:ascii="Arial" w:eastAsia="Times New Roman" w:hAnsi="Arial" w:cs="Arial"/>
        </w:rPr>
        <w:t xml:space="preserve">onverting G2211 to a modifier with two levels (one for clinicians in MSSP and one for those who are not) </w:t>
      </w:r>
      <w:r w:rsidR="004B7CE3" w:rsidRPr="003904F9">
        <w:rPr>
          <w:rFonts w:ascii="Arial" w:eastAsia="Times New Roman" w:hAnsi="Arial" w:cs="Arial"/>
        </w:rPr>
        <w:t>a</w:t>
      </w:r>
      <w:r w:rsidR="00ED36DE" w:rsidRPr="003904F9">
        <w:rPr>
          <w:rFonts w:ascii="Arial" w:eastAsia="Times New Roman" w:hAnsi="Arial" w:cs="Arial"/>
        </w:rPr>
        <w:t xml:space="preserve">s a constructive change that rewards both complex and longitudinal care </w:t>
      </w:r>
      <w:r w:rsidR="004B7CE3" w:rsidRPr="003904F9">
        <w:rPr>
          <w:rFonts w:ascii="Arial" w:eastAsia="Times New Roman" w:hAnsi="Arial" w:cs="Arial"/>
        </w:rPr>
        <w:t>while preferentially rewarding participation in accountable care</w:t>
      </w:r>
      <w:r w:rsidR="00ED36DE" w:rsidRPr="003904F9">
        <w:rPr>
          <w:rFonts w:ascii="Arial" w:eastAsia="Times New Roman" w:hAnsi="Arial" w:cs="Arial"/>
        </w:rPr>
        <w:t>.</w:t>
      </w:r>
      <w:r w:rsidR="00A52BC1" w:rsidRPr="003904F9">
        <w:rPr>
          <w:rFonts w:ascii="Arial" w:eastAsia="Times New Roman" w:hAnsi="Arial" w:cs="Arial"/>
        </w:rPr>
        <w:t xml:space="preserve"> This</w:t>
      </w:r>
      <w:r w:rsidR="00FE57D3" w:rsidRPr="003904F9">
        <w:rPr>
          <w:rFonts w:ascii="Arial" w:eastAsia="Times New Roman" w:hAnsi="Arial" w:cs="Arial"/>
        </w:rPr>
        <w:t xml:space="preserve"> allows the reimbursement to modulate with the underlying</w:t>
      </w:r>
      <w:r w:rsidR="004B7CE3" w:rsidRPr="003904F9">
        <w:rPr>
          <w:rFonts w:ascii="Arial" w:eastAsia="Times New Roman" w:hAnsi="Arial" w:cs="Arial"/>
        </w:rPr>
        <w:t xml:space="preserve"> work</w:t>
      </w:r>
      <w:r w:rsidR="00FE57D3" w:rsidRPr="003904F9">
        <w:rPr>
          <w:rFonts w:ascii="Arial" w:eastAsia="Times New Roman" w:hAnsi="Arial" w:cs="Arial"/>
        </w:rPr>
        <w:t>.</w:t>
      </w:r>
      <w:r w:rsidR="00A52BC1" w:rsidRPr="003904F9">
        <w:rPr>
          <w:rFonts w:ascii="Arial" w:eastAsia="Times New Roman" w:hAnsi="Arial" w:cs="Arial"/>
        </w:rPr>
        <w:t xml:space="preserve"> </w:t>
      </w:r>
      <w:r w:rsidR="00ED36DE" w:rsidRPr="003904F9">
        <w:rPr>
          <w:rFonts w:ascii="Arial" w:eastAsia="Times New Roman" w:hAnsi="Arial" w:cs="Arial"/>
        </w:rPr>
        <w:t>Though studies show that usage of the code to date has been larger from specialists vs primary care</w:t>
      </w:r>
      <w:r w:rsidR="00ED36DE" w:rsidRPr="003904F9">
        <w:rPr>
          <w:rStyle w:val="FootnoteReference"/>
          <w:rFonts w:ascii="Arial" w:eastAsia="Times New Roman" w:hAnsi="Arial" w:cs="Arial"/>
        </w:rPr>
        <w:footnoteReference w:id="5"/>
      </w:r>
      <w:r w:rsidR="00ED36DE" w:rsidRPr="003904F9">
        <w:rPr>
          <w:rFonts w:ascii="Arial" w:eastAsia="Times New Roman" w:hAnsi="Arial" w:cs="Arial"/>
        </w:rPr>
        <w:t>,</w:t>
      </w:r>
      <w:r w:rsidR="00EB5629" w:rsidRPr="003904F9">
        <w:rPr>
          <w:rFonts w:ascii="Arial" w:eastAsia="Times New Roman" w:hAnsi="Arial" w:cs="Arial"/>
        </w:rPr>
        <w:t xml:space="preserve"> G2211 </w:t>
      </w:r>
      <w:r w:rsidR="00801415" w:rsidRPr="003904F9">
        <w:rPr>
          <w:rFonts w:ascii="Arial" w:eastAsia="Times New Roman" w:hAnsi="Arial" w:cs="Arial"/>
        </w:rPr>
        <w:t>remains a lever in the present system that primary care clinicians can leverage to better resource their practices to better service their patients.</w:t>
      </w:r>
      <w:r w:rsidR="00BF5F01" w:rsidRPr="003904F9">
        <w:rPr>
          <w:rFonts w:ascii="Arial" w:eastAsia="Times New Roman" w:hAnsi="Arial" w:cs="Arial"/>
        </w:rPr>
        <w:t xml:space="preserve"> We believe that G2211’s intent to recognize and reward longitudinal relationships in primary care is underrecognized, and the conversion to a modifier provides a good gateway to better educating primary care practices about its use and potential.</w:t>
      </w:r>
      <w:r w:rsidR="002909D8" w:rsidRPr="003904F9">
        <w:rPr>
          <w:rFonts w:ascii="Arial" w:eastAsia="Times New Roman" w:hAnsi="Arial" w:cs="Arial"/>
        </w:rPr>
        <w:t xml:space="preserve"> </w:t>
      </w:r>
      <w:r w:rsidR="00C64EF5" w:rsidRPr="003904F9">
        <w:rPr>
          <w:rFonts w:ascii="Arial" w:eastAsia="Times New Roman" w:hAnsi="Arial" w:cs="Arial"/>
        </w:rPr>
        <w:t>Many in the primary care c</w:t>
      </w:r>
      <w:r w:rsidR="00DE3EF4" w:rsidRPr="003904F9">
        <w:rPr>
          <w:rFonts w:ascii="Arial" w:eastAsia="Times New Roman" w:hAnsi="Arial" w:cs="Arial"/>
        </w:rPr>
        <w:t>ommunity</w:t>
      </w:r>
      <w:r w:rsidR="00606BD7" w:rsidRPr="003904F9">
        <w:rPr>
          <w:rFonts w:ascii="Arial" w:eastAsia="Times New Roman" w:hAnsi="Arial" w:cs="Arial"/>
        </w:rPr>
        <w:t xml:space="preserve"> underuse codes such as G2211 that exists in the present system in the work to provide longitudinal care and treat patients with greater complexity. It would be helpful, especially with the move to a modifier, for </w:t>
      </w:r>
      <w:r w:rsidR="002F738D" w:rsidRPr="003904F9">
        <w:rPr>
          <w:rFonts w:ascii="Arial" w:eastAsia="Times New Roman" w:hAnsi="Arial" w:cs="Arial"/>
        </w:rPr>
        <w:t>the Medicare Learning Network and other CMS forums to provide tools and learning opportunities to spread an understanding of G2211. We are happy to serve as a test community in their development.</w:t>
      </w:r>
      <w:r w:rsidR="007C19E7" w:rsidRPr="003904F9">
        <w:rPr>
          <w:rFonts w:ascii="Arial" w:eastAsia="Times New Roman" w:hAnsi="Arial" w:cs="Arial"/>
        </w:rPr>
        <w:br/>
      </w:r>
    </w:p>
    <w:p w14:paraId="7D9ECD9D" w14:textId="446CB664" w:rsidR="007C19E7" w:rsidRPr="003904F9" w:rsidRDefault="002909D8" w:rsidP="002909D8">
      <w:pPr>
        <w:pStyle w:val="ListParagraph"/>
        <w:numPr>
          <w:ilvl w:val="0"/>
          <w:numId w:val="29"/>
        </w:numPr>
        <w:spacing w:after="160"/>
        <w:rPr>
          <w:rFonts w:ascii="Arial" w:eastAsia="Times New Roman" w:hAnsi="Arial" w:cs="Arial"/>
        </w:rPr>
      </w:pPr>
      <w:r w:rsidRPr="003904F9">
        <w:rPr>
          <w:rFonts w:ascii="Arial" w:eastAsia="Times New Roman" w:hAnsi="Arial" w:cs="Arial"/>
          <w:b/>
          <w:bCs/>
        </w:rPr>
        <w:t xml:space="preserve">Exempting APCM Expenses from </w:t>
      </w:r>
      <w:r w:rsidR="007C19E7" w:rsidRPr="003904F9">
        <w:rPr>
          <w:rFonts w:ascii="Arial" w:eastAsia="Times New Roman" w:hAnsi="Arial" w:cs="Arial"/>
          <w:b/>
          <w:bCs/>
        </w:rPr>
        <w:t>ACO</w:t>
      </w:r>
      <w:r w:rsidR="006B722E" w:rsidRPr="003904F9">
        <w:rPr>
          <w:rFonts w:ascii="Arial" w:eastAsia="Times New Roman" w:hAnsi="Arial" w:cs="Arial"/>
          <w:b/>
          <w:bCs/>
        </w:rPr>
        <w:t xml:space="preserve"> </w:t>
      </w:r>
      <w:r w:rsidR="00E63613" w:rsidRPr="003904F9">
        <w:rPr>
          <w:rFonts w:ascii="Arial" w:eastAsia="Times New Roman" w:hAnsi="Arial" w:cs="Arial"/>
          <w:b/>
          <w:bCs/>
        </w:rPr>
        <w:t>Benchmark</w:t>
      </w:r>
      <w:r w:rsidRPr="003904F9">
        <w:rPr>
          <w:rFonts w:ascii="Arial" w:eastAsia="Times New Roman" w:hAnsi="Arial" w:cs="Arial"/>
          <w:b/>
          <w:bCs/>
        </w:rPr>
        <w:t xml:space="preserve">s </w:t>
      </w:r>
      <w:r w:rsidR="00ED36DE" w:rsidRPr="003904F9">
        <w:rPr>
          <w:rFonts w:ascii="Arial" w:eastAsia="Times New Roman" w:hAnsi="Arial" w:cs="Arial"/>
        </w:rPr>
        <w:t xml:space="preserve">– </w:t>
      </w:r>
      <w:r w:rsidRPr="003904F9">
        <w:rPr>
          <w:rFonts w:ascii="Arial" w:eastAsia="Times New Roman" w:hAnsi="Arial" w:cs="Arial"/>
        </w:rPr>
        <w:t xml:space="preserve">The MSSP and demonstration ACO designs are important tools to achieve better care and greater value. We support the proposed changes to the Accountable Care Prospective Trend to a standardized, prospectively available rate, installing a retroactive downside guardrail of 1% as they provide greater predictability and visibility. These changes will also attract new ACO participants as they reduce the barriers to entry for those in independent practice as they reduce risk exposure. We also encourage the extension of ACO Reach cost-sharing reductions into the broader MSSP structure. This is particularly important for APCM codes to reduce  barriers to patient engagement. </w:t>
      </w:r>
      <w:r w:rsidR="00ED36DE" w:rsidRPr="003904F9">
        <w:rPr>
          <w:rFonts w:ascii="Arial" w:eastAsia="Times New Roman" w:hAnsi="Arial" w:cs="Arial"/>
        </w:rPr>
        <w:t xml:space="preserve">Inherent to the structure of </w:t>
      </w:r>
      <w:r w:rsidR="007C19E7" w:rsidRPr="003904F9">
        <w:rPr>
          <w:rFonts w:ascii="Arial" w:eastAsia="Times New Roman" w:hAnsi="Arial" w:cs="Arial"/>
        </w:rPr>
        <w:t>ACOs</w:t>
      </w:r>
      <w:r w:rsidR="00ED36DE" w:rsidRPr="003904F9">
        <w:rPr>
          <w:rFonts w:ascii="Arial" w:eastAsia="Times New Roman" w:hAnsi="Arial" w:cs="Arial"/>
        </w:rPr>
        <w:t xml:space="preserve"> is the definition of a specific population of known patients for w</w:t>
      </w:r>
      <w:r w:rsidR="006D561B" w:rsidRPr="003904F9">
        <w:rPr>
          <w:rFonts w:ascii="Arial" w:eastAsia="Times New Roman" w:hAnsi="Arial" w:cs="Arial"/>
        </w:rPr>
        <w:t>hom</w:t>
      </w:r>
      <w:r w:rsidR="00ED36DE" w:rsidRPr="003904F9">
        <w:rPr>
          <w:rFonts w:ascii="Arial" w:eastAsia="Times New Roman" w:hAnsi="Arial" w:cs="Arial"/>
        </w:rPr>
        <w:t xml:space="preserve"> providers will assume responsibility.</w:t>
      </w:r>
      <w:r w:rsidR="00801415" w:rsidRPr="003904F9">
        <w:rPr>
          <w:rFonts w:ascii="Arial" w:eastAsia="Times New Roman" w:hAnsi="Arial" w:cs="Arial"/>
        </w:rPr>
        <w:t xml:space="preserve"> </w:t>
      </w:r>
      <w:r w:rsidR="00ED36DE" w:rsidRPr="003904F9">
        <w:rPr>
          <w:rFonts w:ascii="Arial" w:eastAsia="Times New Roman" w:hAnsi="Arial" w:cs="Arial"/>
        </w:rPr>
        <w:t xml:space="preserve"> </w:t>
      </w:r>
      <w:r w:rsidR="00F71BC0" w:rsidRPr="003904F9">
        <w:rPr>
          <w:rFonts w:ascii="Arial" w:eastAsia="Times New Roman" w:hAnsi="Arial" w:cs="Arial"/>
        </w:rPr>
        <w:t xml:space="preserve">The ability to link a patient to a responsible provider is key to accountability and provides greater clarity on roles and responsibilities.  </w:t>
      </w:r>
      <w:r w:rsidRPr="003904F9">
        <w:rPr>
          <w:rFonts w:ascii="Arial" w:eastAsia="Times New Roman" w:hAnsi="Arial" w:cs="Arial"/>
        </w:rPr>
        <w:t>We understand that s</w:t>
      </w:r>
      <w:r w:rsidR="00172E51" w:rsidRPr="003904F9">
        <w:rPr>
          <w:rFonts w:ascii="Arial" w:eastAsia="Times New Roman" w:hAnsi="Arial" w:cs="Arial"/>
        </w:rPr>
        <w:t xml:space="preserve">ome MSSP ACOs are hesitant to use APCM codes because they “count against them” when the benchmark is calculated. </w:t>
      </w:r>
      <w:r w:rsidR="00883715" w:rsidRPr="003904F9">
        <w:rPr>
          <w:rFonts w:ascii="Arial" w:eastAsia="Times New Roman" w:hAnsi="Arial" w:cs="Arial"/>
        </w:rPr>
        <w:t>If CMS wishes to maximize the potential o</w:t>
      </w:r>
      <w:r w:rsidR="00EE1C0A" w:rsidRPr="003904F9">
        <w:rPr>
          <w:rFonts w:ascii="Arial" w:eastAsia="Times New Roman" w:hAnsi="Arial" w:cs="Arial"/>
        </w:rPr>
        <w:t xml:space="preserve">f accountable care, exempting APCM expenses from </w:t>
      </w:r>
      <w:r w:rsidR="00E63613" w:rsidRPr="003904F9">
        <w:rPr>
          <w:rFonts w:ascii="Arial" w:eastAsia="Times New Roman" w:hAnsi="Arial" w:cs="Arial"/>
        </w:rPr>
        <w:t xml:space="preserve">ACO </w:t>
      </w:r>
      <w:r w:rsidR="00EE1C0A" w:rsidRPr="003904F9">
        <w:rPr>
          <w:rFonts w:ascii="Arial" w:eastAsia="Times New Roman" w:hAnsi="Arial" w:cs="Arial"/>
        </w:rPr>
        <w:t>total spending calculations merits consideration, especially for independent providers who are not part of a hospital system.</w:t>
      </w:r>
    </w:p>
    <w:p w14:paraId="4936200C" w14:textId="4C3FB885" w:rsidR="00ED36DE" w:rsidRPr="003904F9" w:rsidRDefault="00ED36DE" w:rsidP="00883715">
      <w:pPr>
        <w:pStyle w:val="ListParagraph"/>
        <w:spacing w:after="160"/>
        <w:rPr>
          <w:rFonts w:ascii="Arial" w:eastAsia="Times New Roman" w:hAnsi="Arial" w:cs="Arial"/>
        </w:rPr>
      </w:pPr>
    </w:p>
    <w:p w14:paraId="295A9B42" w14:textId="5B120E3E" w:rsidR="00E20F68" w:rsidRPr="003904F9" w:rsidRDefault="002909D8" w:rsidP="00024B46">
      <w:pPr>
        <w:pStyle w:val="ListParagraph"/>
        <w:numPr>
          <w:ilvl w:val="0"/>
          <w:numId w:val="29"/>
        </w:numPr>
        <w:spacing w:after="200"/>
        <w:rPr>
          <w:rFonts w:ascii="Arial" w:eastAsia="Times New Roman" w:hAnsi="Arial" w:cs="Arial"/>
        </w:rPr>
      </w:pPr>
      <w:r w:rsidRPr="003904F9">
        <w:rPr>
          <w:rFonts w:ascii="Arial" w:eastAsia="Times New Roman" w:hAnsi="Arial" w:cs="Arial"/>
          <w:b/>
          <w:bCs/>
        </w:rPr>
        <w:t>Retaining The Person-Centered Primary Care Measure (PCPCM) In MIPS</w:t>
      </w:r>
      <w:r w:rsidR="00E83088" w:rsidRPr="003904F9">
        <w:rPr>
          <w:rFonts w:ascii="Arial" w:eastAsia="Times New Roman" w:hAnsi="Arial" w:cs="Arial"/>
          <w:b/>
          <w:bCs/>
        </w:rPr>
        <w:t xml:space="preserve"> -</w:t>
      </w:r>
      <w:r w:rsidR="00E20F68" w:rsidRPr="003904F9">
        <w:rPr>
          <w:rFonts w:ascii="Arial" w:eastAsia="Times New Roman" w:hAnsi="Arial" w:cs="Arial"/>
        </w:rPr>
        <w:t xml:space="preserve">  We noted that CMS was considering removal of the PCPCM Patient Reported Outcome Performance Measure (PCPCM PRO-PM, Quality #483), from the Merit-based Incentive Payment System (MIPS) because “the limited adoption of this quality measure does not allow for the creation of a benchmark.”  We believe the PCPCM to be an important advance in the measurement of patient preferences, values, and needs. Measures that permit the incorporation of patient perspectives are in limited supply and those that focus on primary care are even scarcer. That is what makes the PCPCM so exciting and promising. We recommend alternative approaches to benchmarking as the tool grows in adoption such as performance-period benchmarks and scoring floors that credit submission.  As the measure steward, The Larry A. Green Center has access to over 40,000 PCPCM surveys collected electronically and a wealth of measure expertise to craft interim solutions. We recommend that CMS retain the PCPCM PRO-PM and apply a defined scoring floor for two performance periods, paired with retention in the Value in Primary Care MVP and the primary care specialty sets.</w:t>
      </w:r>
      <w:r w:rsidR="003904F9">
        <w:rPr>
          <w:rFonts w:ascii="Arial" w:eastAsia="Times New Roman" w:hAnsi="Arial" w:cs="Arial"/>
        </w:rPr>
        <w:br/>
      </w:r>
    </w:p>
    <w:p w14:paraId="65D28951" w14:textId="175CB8C6" w:rsidR="005E0D0C" w:rsidRPr="003904F9" w:rsidRDefault="005E0D0C" w:rsidP="003904F9">
      <w:pPr>
        <w:pStyle w:val="ListParagraph"/>
        <w:numPr>
          <w:ilvl w:val="0"/>
          <w:numId w:val="37"/>
        </w:numPr>
        <w:spacing w:after="160"/>
        <w:rPr>
          <w:rFonts w:ascii="Arial" w:eastAsia="Times New Roman" w:hAnsi="Arial" w:cs="Arial"/>
          <w:b/>
          <w:bCs/>
          <w:u w:val="single"/>
        </w:rPr>
      </w:pPr>
      <w:r w:rsidRPr="003904F9">
        <w:rPr>
          <w:rFonts w:ascii="Arial" w:eastAsia="Times New Roman" w:hAnsi="Arial" w:cs="Arial"/>
          <w:b/>
          <w:bCs/>
          <w:u w:val="single"/>
        </w:rPr>
        <w:t>Primary Care Payment RFI Responses</w:t>
      </w:r>
    </w:p>
    <w:p w14:paraId="243B9831" w14:textId="3D9557D4" w:rsidR="003904F9" w:rsidRPr="003904F9" w:rsidRDefault="00E83088" w:rsidP="003904F9">
      <w:pPr>
        <w:spacing w:after="160"/>
        <w:rPr>
          <w:rFonts w:ascii="Arial" w:eastAsia="Times New Roman" w:hAnsi="Arial" w:cs="Arial"/>
        </w:rPr>
      </w:pPr>
      <w:r w:rsidRPr="003904F9">
        <w:rPr>
          <w:rFonts w:ascii="Arial" w:eastAsia="Times New Roman" w:hAnsi="Arial" w:cs="Arial"/>
        </w:rPr>
        <w:t>We</w:t>
      </w:r>
      <w:r w:rsidR="003904F9">
        <w:rPr>
          <w:rFonts w:ascii="Arial" w:eastAsia="Times New Roman" w:hAnsi="Arial" w:cs="Arial"/>
        </w:rPr>
        <w:t xml:space="preserve"> now</w:t>
      </w:r>
      <w:r w:rsidRPr="003904F9">
        <w:rPr>
          <w:rFonts w:ascii="Arial" w:eastAsia="Times New Roman" w:hAnsi="Arial" w:cs="Arial"/>
        </w:rPr>
        <w:t xml:space="preserve"> turn our attention</w:t>
      </w:r>
      <w:r w:rsidR="003904F9">
        <w:rPr>
          <w:rFonts w:ascii="Arial" w:eastAsia="Times New Roman" w:hAnsi="Arial" w:cs="Arial"/>
        </w:rPr>
        <w:t xml:space="preserve"> </w:t>
      </w:r>
      <w:r w:rsidRPr="003904F9">
        <w:rPr>
          <w:rFonts w:ascii="Arial" w:eastAsia="Times New Roman" w:hAnsi="Arial" w:cs="Arial"/>
        </w:rPr>
        <w:t xml:space="preserve">to our ideas on the Primary Care RFI included as a component of the 2027 PFS draft. The central element of the RFI is how to structure payment for primary care in a way that optimizes the potential of primary care to efficiently, effectively partner with patients in longitudinal relationships to optimize health outcomes. </w:t>
      </w:r>
      <w:r w:rsidR="003904F9" w:rsidRPr="003904F9">
        <w:rPr>
          <w:rFonts w:ascii="Arial" w:eastAsia="Times New Roman" w:hAnsi="Arial" w:cs="Arial"/>
        </w:rPr>
        <w:t xml:space="preserve">We </w:t>
      </w:r>
      <w:r w:rsidR="003904F9">
        <w:rPr>
          <w:rFonts w:ascii="Arial" w:eastAsia="Times New Roman" w:hAnsi="Arial" w:cs="Arial"/>
        </w:rPr>
        <w:t>ground our response in Goroll’s vision of the primary care physician’s best uses as healthcare evolves.  First, he emphasizes the potential of primary care physicians as consultants for advanced practice providers, especially in rural and underserved areas</w:t>
      </w:r>
      <w:r w:rsidR="008D5519">
        <w:rPr>
          <w:rFonts w:ascii="Arial" w:eastAsia="Times New Roman" w:hAnsi="Arial" w:cs="Arial"/>
        </w:rPr>
        <w:t xml:space="preserve"> to increase access to care</w:t>
      </w:r>
      <w:r w:rsidR="003904F9">
        <w:rPr>
          <w:rFonts w:ascii="Arial" w:eastAsia="Times New Roman" w:hAnsi="Arial" w:cs="Arial"/>
        </w:rPr>
        <w:t xml:space="preserve">, and </w:t>
      </w:r>
      <w:r w:rsidR="003904F9" w:rsidRPr="003904F9">
        <w:rPr>
          <w:rFonts w:ascii="Arial" w:eastAsia="Times New Roman" w:hAnsi="Arial" w:cs="Arial"/>
        </w:rPr>
        <w:t>primary care physician</w:t>
      </w:r>
      <w:r w:rsidR="003904F9">
        <w:rPr>
          <w:rFonts w:ascii="Arial" w:eastAsia="Times New Roman" w:hAnsi="Arial" w:cs="Arial"/>
        </w:rPr>
        <w:t>s</w:t>
      </w:r>
      <w:r w:rsidR="003904F9" w:rsidRPr="003904F9">
        <w:rPr>
          <w:rFonts w:ascii="Arial" w:eastAsia="Times New Roman" w:hAnsi="Arial" w:cs="Arial"/>
        </w:rPr>
        <w:t xml:space="preserve"> as apex practitioner</w:t>
      </w:r>
      <w:r w:rsidR="003904F9">
        <w:rPr>
          <w:rFonts w:ascii="Arial" w:eastAsia="Times New Roman" w:hAnsi="Arial" w:cs="Arial"/>
        </w:rPr>
        <w:t xml:space="preserve">s or quarterbacks for team-based care in practices that deliver </w:t>
      </w:r>
      <w:r w:rsidR="008D5519">
        <w:rPr>
          <w:rFonts w:ascii="Arial" w:eastAsia="Times New Roman" w:hAnsi="Arial" w:cs="Arial"/>
        </w:rPr>
        <w:t xml:space="preserve">first-contact, </w:t>
      </w:r>
      <w:r w:rsidR="003904F9">
        <w:rPr>
          <w:rFonts w:ascii="Arial" w:eastAsia="Times New Roman" w:hAnsi="Arial" w:cs="Arial"/>
        </w:rPr>
        <w:t>continu</w:t>
      </w:r>
      <w:r w:rsidR="008D5519">
        <w:rPr>
          <w:rFonts w:ascii="Arial" w:eastAsia="Times New Roman" w:hAnsi="Arial" w:cs="Arial"/>
        </w:rPr>
        <w:t>ous</w:t>
      </w:r>
      <w:r w:rsidR="003904F9">
        <w:rPr>
          <w:rFonts w:ascii="Arial" w:eastAsia="Times New Roman" w:hAnsi="Arial" w:cs="Arial"/>
        </w:rPr>
        <w:t>, comprehensive</w:t>
      </w:r>
      <w:r w:rsidR="008D5519">
        <w:rPr>
          <w:rFonts w:ascii="Arial" w:eastAsia="Times New Roman" w:hAnsi="Arial" w:cs="Arial"/>
        </w:rPr>
        <w:t>, and coordinated care</w:t>
      </w:r>
      <w:r w:rsidR="003904F9" w:rsidRPr="003904F9">
        <w:rPr>
          <w:rStyle w:val="FootnoteReference"/>
          <w:rFonts w:ascii="Arial" w:eastAsia="Times New Roman" w:hAnsi="Arial" w:cs="Arial"/>
        </w:rPr>
        <w:footnoteReference w:id="6"/>
      </w:r>
      <w:r w:rsidR="003904F9" w:rsidRPr="003904F9">
        <w:rPr>
          <w:rFonts w:ascii="Arial" w:eastAsia="Times New Roman" w:hAnsi="Arial" w:cs="Arial"/>
        </w:rPr>
        <w:t xml:space="preserve">. </w:t>
      </w:r>
    </w:p>
    <w:p w14:paraId="35B93291" w14:textId="1C1FF195" w:rsidR="00E20F68" w:rsidRPr="003904F9" w:rsidRDefault="005E0D0C" w:rsidP="00ED36DE">
      <w:pPr>
        <w:spacing w:after="160"/>
        <w:rPr>
          <w:rFonts w:ascii="Arial" w:eastAsia="Times New Roman" w:hAnsi="Arial" w:cs="Arial"/>
        </w:rPr>
      </w:pPr>
      <w:r w:rsidRPr="003904F9">
        <w:rPr>
          <w:rFonts w:ascii="Arial" w:eastAsia="Times New Roman" w:hAnsi="Arial" w:cs="Arial"/>
        </w:rPr>
        <w:t xml:space="preserve">As a </w:t>
      </w:r>
      <w:r w:rsidR="008D6218" w:rsidRPr="003904F9">
        <w:rPr>
          <w:rFonts w:ascii="Arial" w:eastAsia="Times New Roman" w:hAnsi="Arial" w:cs="Arial"/>
        </w:rPr>
        <w:t xml:space="preserve">multipayer </w:t>
      </w:r>
      <w:r w:rsidRPr="003904F9">
        <w:rPr>
          <w:rFonts w:ascii="Arial" w:eastAsia="Times New Roman" w:hAnsi="Arial" w:cs="Arial"/>
        </w:rPr>
        <w:t xml:space="preserve">consortium, we embrace the National Academy of Science, Engineering, and Medicine’s 2021 report on Implementing High-Quality Primary Care </w:t>
      </w:r>
      <w:r w:rsidR="00B83B95" w:rsidRPr="003904F9">
        <w:rPr>
          <w:rFonts w:ascii="Arial" w:eastAsia="Times New Roman" w:hAnsi="Arial" w:cs="Arial"/>
        </w:rPr>
        <w:t xml:space="preserve">as a guiding </w:t>
      </w:r>
      <w:r w:rsidR="00A14E4D" w:rsidRPr="003904F9">
        <w:rPr>
          <w:rFonts w:ascii="Arial" w:eastAsia="Times New Roman" w:hAnsi="Arial" w:cs="Arial"/>
        </w:rPr>
        <w:t>framework and</w:t>
      </w:r>
      <w:r w:rsidR="00B83B95" w:rsidRPr="003904F9">
        <w:rPr>
          <w:rFonts w:ascii="Arial" w:eastAsia="Times New Roman" w:hAnsi="Arial" w:cs="Arial"/>
        </w:rPr>
        <w:t xml:space="preserve"> </w:t>
      </w:r>
      <w:r w:rsidR="008D6218" w:rsidRPr="003904F9">
        <w:rPr>
          <w:rFonts w:ascii="Arial" w:eastAsia="Times New Roman" w:hAnsi="Arial" w:cs="Arial"/>
        </w:rPr>
        <w:t xml:space="preserve">have </w:t>
      </w:r>
      <w:r w:rsidR="00B83B95" w:rsidRPr="003904F9">
        <w:rPr>
          <w:rFonts w:ascii="Arial" w:eastAsia="Times New Roman" w:hAnsi="Arial" w:cs="Arial"/>
        </w:rPr>
        <w:t xml:space="preserve">developed a logic model for </w:t>
      </w:r>
      <w:r w:rsidR="008D6218" w:rsidRPr="003904F9">
        <w:rPr>
          <w:rFonts w:ascii="Arial" w:eastAsia="Times New Roman" w:hAnsi="Arial" w:cs="Arial"/>
        </w:rPr>
        <w:t>our approach for implementation in Michigan</w:t>
      </w:r>
      <w:r w:rsidR="006621D8" w:rsidRPr="003904F9">
        <w:rPr>
          <w:rFonts w:ascii="Arial" w:eastAsia="Times New Roman" w:hAnsi="Arial" w:cs="Arial"/>
        </w:rPr>
        <w:t xml:space="preserve"> (see Exhibit 1)</w:t>
      </w:r>
      <w:r w:rsidR="008D6218" w:rsidRPr="003904F9">
        <w:rPr>
          <w:rFonts w:ascii="Arial" w:eastAsia="Times New Roman" w:hAnsi="Arial" w:cs="Arial"/>
        </w:rPr>
        <w:t>. It includes</w:t>
      </w:r>
      <w:r w:rsidR="00B83B95" w:rsidRPr="003904F9">
        <w:rPr>
          <w:rFonts w:ascii="Arial" w:eastAsia="Times New Roman" w:hAnsi="Arial" w:cs="Arial"/>
        </w:rPr>
        <w:t xml:space="preserve"> pay</w:t>
      </w:r>
      <w:r w:rsidR="008D6218" w:rsidRPr="003904F9">
        <w:rPr>
          <w:rFonts w:ascii="Arial" w:eastAsia="Times New Roman" w:hAnsi="Arial" w:cs="Arial"/>
        </w:rPr>
        <w:t>ing</w:t>
      </w:r>
      <w:r w:rsidR="00B83B95" w:rsidRPr="003904F9">
        <w:rPr>
          <w:rFonts w:ascii="Arial" w:eastAsia="Times New Roman" w:hAnsi="Arial" w:cs="Arial"/>
        </w:rPr>
        <w:t xml:space="preserve"> primary care practices more, pay</w:t>
      </w:r>
      <w:r w:rsidR="008D6218" w:rsidRPr="003904F9">
        <w:rPr>
          <w:rFonts w:ascii="Arial" w:eastAsia="Times New Roman" w:hAnsi="Arial" w:cs="Arial"/>
        </w:rPr>
        <w:t>ing</w:t>
      </w:r>
      <w:r w:rsidR="00B83B95" w:rsidRPr="003904F9">
        <w:rPr>
          <w:rFonts w:ascii="Arial" w:eastAsia="Times New Roman" w:hAnsi="Arial" w:cs="Arial"/>
        </w:rPr>
        <w:t xml:space="preserve"> them differently, and hold</w:t>
      </w:r>
      <w:r w:rsidR="008D6218" w:rsidRPr="003904F9">
        <w:rPr>
          <w:rFonts w:ascii="Arial" w:eastAsia="Times New Roman" w:hAnsi="Arial" w:cs="Arial"/>
        </w:rPr>
        <w:t>ing</w:t>
      </w:r>
      <w:r w:rsidR="00B83B95" w:rsidRPr="003904F9">
        <w:rPr>
          <w:rFonts w:ascii="Arial" w:eastAsia="Times New Roman" w:hAnsi="Arial" w:cs="Arial"/>
        </w:rPr>
        <w:t xml:space="preserve"> them responsible for using the additional resources to achieve better care at a lower overall cost.  </w:t>
      </w:r>
    </w:p>
    <w:p w14:paraId="2E5010CB" w14:textId="77777777" w:rsidR="006621D8" w:rsidRPr="003904F9" w:rsidRDefault="006621D8" w:rsidP="00ED36DE">
      <w:pPr>
        <w:spacing w:after="160"/>
        <w:rPr>
          <w:rFonts w:ascii="Arial" w:eastAsia="Times New Roman" w:hAnsi="Arial" w:cs="Arial"/>
        </w:rPr>
      </w:pPr>
    </w:p>
    <w:p w14:paraId="4CE302E4" w14:textId="79C767CC" w:rsidR="006621D8" w:rsidRPr="003904F9" w:rsidRDefault="006621D8" w:rsidP="006621D8">
      <w:pPr>
        <w:spacing w:after="160"/>
        <w:jc w:val="center"/>
        <w:rPr>
          <w:rFonts w:ascii="Arial" w:eastAsia="Times New Roman" w:hAnsi="Arial" w:cs="Arial"/>
        </w:rPr>
      </w:pPr>
      <w:r w:rsidRPr="003904F9">
        <w:rPr>
          <w:rFonts w:ascii="Arial" w:eastAsia="Times New Roman" w:hAnsi="Arial" w:cs="Arial"/>
        </w:rPr>
        <w:t>Exhibit 1:  Logic Model for Primary Care Investment in Michigan</w:t>
      </w:r>
    </w:p>
    <w:p w14:paraId="5E50ECB9" w14:textId="74EA93B0" w:rsidR="006B722E" w:rsidRPr="003904F9" w:rsidRDefault="005E0D0C" w:rsidP="005E0D0C">
      <w:pPr>
        <w:spacing w:after="160"/>
        <w:jc w:val="center"/>
        <w:rPr>
          <w:rFonts w:ascii="Arial" w:eastAsia="Times New Roman" w:hAnsi="Arial" w:cs="Arial"/>
        </w:rPr>
      </w:pPr>
      <w:r w:rsidRPr="003904F9">
        <w:rPr>
          <w:rFonts w:ascii="Arial" w:eastAsia="Times New Roman" w:hAnsi="Arial" w:cs="Arial"/>
          <w:noProof/>
        </w:rPr>
        <w:drawing>
          <wp:inline distT="0" distB="0" distL="0" distR="0" wp14:anchorId="6630BAC6" wp14:editId="767A373C">
            <wp:extent cx="4233246" cy="1771993"/>
            <wp:effectExtent l="0" t="0" r="0" b="0"/>
            <wp:docPr id="146242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29020" name=""/>
                    <pic:cNvPicPr/>
                  </pic:nvPicPr>
                  <pic:blipFill rotWithShape="1">
                    <a:blip r:embed="rId10"/>
                    <a:srcRect t="26464"/>
                    <a:stretch>
                      <a:fillRect/>
                    </a:stretch>
                  </pic:blipFill>
                  <pic:spPr bwMode="auto">
                    <a:xfrm>
                      <a:off x="0" y="0"/>
                      <a:ext cx="4244278" cy="1776611"/>
                    </a:xfrm>
                    <a:prstGeom prst="rect">
                      <a:avLst/>
                    </a:prstGeom>
                    <a:ln>
                      <a:noFill/>
                    </a:ln>
                    <a:extLst>
                      <a:ext uri="{53640926-AAD7-44D8-BBD7-CCE9431645EC}">
                        <a14:shadowObscured xmlns:a14="http://schemas.microsoft.com/office/drawing/2010/main"/>
                      </a:ext>
                    </a:extLst>
                  </pic:spPr>
                </pic:pic>
              </a:graphicData>
            </a:graphic>
          </wp:inline>
        </w:drawing>
      </w:r>
    </w:p>
    <w:p w14:paraId="5F8E4394" w14:textId="77777777" w:rsidR="006B722E" w:rsidRPr="003904F9" w:rsidRDefault="006B722E" w:rsidP="00ED36DE">
      <w:pPr>
        <w:spacing w:after="160"/>
        <w:rPr>
          <w:rFonts w:ascii="Arial" w:eastAsia="Times New Roman" w:hAnsi="Arial" w:cs="Arial"/>
        </w:rPr>
      </w:pPr>
    </w:p>
    <w:p w14:paraId="1DB848E2" w14:textId="234A7F83" w:rsidR="006621D8" w:rsidRPr="003904F9" w:rsidRDefault="006621D8" w:rsidP="00ED36DE">
      <w:pPr>
        <w:spacing w:after="160"/>
        <w:rPr>
          <w:rFonts w:ascii="Arial" w:eastAsia="Times New Roman" w:hAnsi="Arial" w:cs="Arial"/>
        </w:rPr>
      </w:pPr>
      <w:r w:rsidRPr="003904F9">
        <w:rPr>
          <w:rFonts w:ascii="Arial" w:eastAsia="Times New Roman" w:hAnsi="Arial" w:cs="Arial"/>
        </w:rPr>
        <w:t>We partnered with the Michigan State Medical Society earlier this ye</w:t>
      </w:r>
      <w:r w:rsidR="008D6218" w:rsidRPr="003904F9">
        <w:rPr>
          <w:rFonts w:ascii="Arial" w:eastAsia="Times New Roman" w:hAnsi="Arial" w:cs="Arial"/>
        </w:rPr>
        <w:t xml:space="preserve">ar to </w:t>
      </w:r>
      <w:r w:rsidRPr="003904F9">
        <w:rPr>
          <w:rFonts w:ascii="Arial" w:eastAsia="Times New Roman" w:hAnsi="Arial" w:cs="Arial"/>
        </w:rPr>
        <w:t>produce a report on Physician Workforce Needs that focuses on primary care payment reform</w:t>
      </w:r>
      <w:r w:rsidR="008D6218" w:rsidRPr="003904F9">
        <w:rPr>
          <w:rStyle w:val="FootnoteReference"/>
          <w:rFonts w:ascii="Arial" w:eastAsia="Times New Roman" w:hAnsi="Arial" w:cs="Arial"/>
        </w:rPr>
        <w:footnoteReference w:id="7"/>
      </w:r>
      <w:r w:rsidRPr="003904F9">
        <w:rPr>
          <w:rFonts w:ascii="Arial" w:eastAsia="Times New Roman" w:hAnsi="Arial" w:cs="Arial"/>
        </w:rPr>
        <w:t xml:space="preserve"> </w:t>
      </w:r>
      <w:r w:rsidR="008D6218" w:rsidRPr="003904F9">
        <w:rPr>
          <w:rFonts w:ascii="Arial" w:eastAsia="Times New Roman" w:hAnsi="Arial" w:cs="Arial"/>
        </w:rPr>
        <w:t>that contains ideas applicable for evolution of the Medicare payment structure.</w:t>
      </w:r>
      <w:r w:rsidRPr="003904F9">
        <w:rPr>
          <w:rFonts w:ascii="Arial" w:eastAsia="Times New Roman" w:hAnsi="Arial" w:cs="Arial"/>
        </w:rPr>
        <w:t xml:space="preserve"> </w:t>
      </w:r>
      <w:r w:rsidR="00421C36" w:rsidRPr="003904F9">
        <w:rPr>
          <w:rFonts w:ascii="Arial" w:eastAsia="Times New Roman" w:hAnsi="Arial" w:cs="Arial"/>
        </w:rPr>
        <w:t xml:space="preserve">In our desired state model, the primary care physician serves as the “quarterback” working with an interprofessional team, addressing differentiated and undifferentiated problems with patients and managing the vast majority of patients' concerns, coordinating care with specialists and hospitals, etc. and supporting patients in lifestyle changes, disease prevention, and self-management. Technology and AI are incorporated into the care </w:t>
      </w:r>
      <w:r w:rsidR="00152127">
        <w:rPr>
          <w:rFonts w:ascii="Arial" w:eastAsia="Times New Roman" w:hAnsi="Arial" w:cs="Arial"/>
        </w:rPr>
        <w:t>model</w:t>
      </w:r>
      <w:r w:rsidR="00421C36" w:rsidRPr="003904F9">
        <w:rPr>
          <w:rFonts w:ascii="Arial" w:eastAsia="Times New Roman" w:hAnsi="Arial" w:cs="Arial"/>
        </w:rPr>
        <w:t xml:space="preserve"> but does not replace it.</w:t>
      </w:r>
    </w:p>
    <w:p w14:paraId="1E992016" w14:textId="77777777" w:rsidR="00877CEC" w:rsidRDefault="006621D8" w:rsidP="00152127">
      <w:pPr>
        <w:spacing w:after="160"/>
        <w:rPr>
          <w:rFonts w:ascii="Arial" w:eastAsia="Times New Roman" w:hAnsi="Arial" w:cs="Arial"/>
        </w:rPr>
      </w:pPr>
      <w:r w:rsidRPr="003904F9">
        <w:rPr>
          <w:rFonts w:ascii="Arial" w:eastAsia="Times New Roman" w:hAnsi="Arial" w:cs="Arial"/>
        </w:rPr>
        <w:t xml:space="preserve">We encourage </w:t>
      </w:r>
      <w:r w:rsidR="00421C36" w:rsidRPr="003904F9">
        <w:rPr>
          <w:rFonts w:ascii="Arial" w:eastAsia="Times New Roman" w:hAnsi="Arial" w:cs="Arial"/>
        </w:rPr>
        <w:t xml:space="preserve">CMS to move </w:t>
      </w:r>
      <w:r w:rsidR="00ED36DE" w:rsidRPr="003904F9">
        <w:rPr>
          <w:rFonts w:ascii="Arial" w:eastAsia="Times New Roman" w:hAnsi="Arial" w:cs="Arial"/>
        </w:rPr>
        <w:t xml:space="preserve">forward with a hybrid (population-based and fee-for service) primary care payment option in MSSP that invests more in front-line primary care. </w:t>
      </w:r>
      <w:r w:rsidR="00421C36" w:rsidRPr="00152127">
        <w:rPr>
          <w:rFonts w:ascii="Arial" w:eastAsia="Times New Roman" w:hAnsi="Arial" w:cs="Arial"/>
        </w:rPr>
        <w:t xml:space="preserve">Continuity should be a central design principle rather than an incidental byproduct of payment policy. Patients with continuous relationships experience lower total costs of care, fewer emergency department visits, fewer hospitalizations, lower mortality and higher patient satisfaction. Continuous primary care relationships are the heart of high-value care. </w:t>
      </w:r>
    </w:p>
    <w:p w14:paraId="459D10AF" w14:textId="42B8C9E5" w:rsidR="00E15713" w:rsidRPr="003904F9" w:rsidRDefault="00877CEC" w:rsidP="00152127">
      <w:pPr>
        <w:spacing w:after="160"/>
        <w:rPr>
          <w:rFonts w:ascii="Arial" w:eastAsia="Times New Roman" w:hAnsi="Arial" w:cs="Arial"/>
        </w:rPr>
      </w:pPr>
      <w:r>
        <w:rPr>
          <w:rFonts w:ascii="Arial" w:eastAsia="Times New Roman" w:hAnsi="Arial" w:cs="Arial"/>
        </w:rPr>
        <w:t>Below we offer our comments on the</w:t>
      </w:r>
      <w:r w:rsidR="00024B46">
        <w:rPr>
          <w:rFonts w:ascii="Arial" w:eastAsia="Times New Roman" w:hAnsi="Arial" w:cs="Arial"/>
        </w:rPr>
        <w:t xml:space="preserve"> </w:t>
      </w:r>
      <w:r>
        <w:rPr>
          <w:rFonts w:ascii="Arial" w:eastAsia="Times New Roman" w:hAnsi="Arial" w:cs="Arial"/>
        </w:rPr>
        <w:t>core issues raised in the RFI pertaining to primary care:</w:t>
      </w:r>
    </w:p>
    <w:p w14:paraId="2D9B01AD" w14:textId="7E197B0A" w:rsidR="00C9258B" w:rsidRPr="00877CEC" w:rsidRDefault="00877CEC" w:rsidP="00024B46">
      <w:pPr>
        <w:pStyle w:val="ListParagraph"/>
        <w:numPr>
          <w:ilvl w:val="0"/>
          <w:numId w:val="40"/>
        </w:numPr>
        <w:rPr>
          <w:rFonts w:ascii="Roboto" w:eastAsia="Times New Roman" w:hAnsi="Roboto"/>
        </w:rPr>
      </w:pPr>
      <w:r>
        <w:rPr>
          <w:rFonts w:ascii="Roboto" w:eastAsia="Times New Roman" w:hAnsi="Roboto"/>
          <w:b/>
          <w:bCs/>
        </w:rPr>
        <w:t>Codes to Reward</w:t>
      </w:r>
      <w:r w:rsidR="003B7583" w:rsidRPr="00877CEC">
        <w:rPr>
          <w:rFonts w:ascii="Roboto" w:eastAsia="Times New Roman" w:hAnsi="Roboto"/>
          <w:b/>
          <w:bCs/>
        </w:rPr>
        <w:t xml:space="preserve"> Longitudinal </w:t>
      </w:r>
      <w:r w:rsidR="00A53292">
        <w:rPr>
          <w:rFonts w:ascii="Roboto" w:eastAsia="Times New Roman" w:hAnsi="Roboto"/>
          <w:b/>
          <w:bCs/>
        </w:rPr>
        <w:t xml:space="preserve">Primary </w:t>
      </w:r>
      <w:r w:rsidR="003B7583" w:rsidRPr="00877CEC">
        <w:rPr>
          <w:rFonts w:ascii="Roboto" w:eastAsia="Times New Roman" w:hAnsi="Roboto"/>
          <w:b/>
          <w:bCs/>
        </w:rPr>
        <w:t>Care:</w:t>
      </w:r>
      <w:r w:rsidR="003B7583" w:rsidRPr="00877CEC">
        <w:rPr>
          <w:rFonts w:ascii="Roboto" w:eastAsia="Times New Roman" w:hAnsi="Roboto"/>
        </w:rPr>
        <w:t xml:space="preserve"> </w:t>
      </w:r>
      <w:r w:rsidR="004B024A" w:rsidRPr="00877CEC">
        <w:rPr>
          <w:rFonts w:ascii="Roboto" w:eastAsia="Times New Roman" w:hAnsi="Roboto"/>
        </w:rPr>
        <w:t xml:space="preserve">We </w:t>
      </w:r>
      <w:r w:rsidR="006E3615" w:rsidRPr="00877CEC">
        <w:rPr>
          <w:rFonts w:ascii="Roboto" w:eastAsia="Times New Roman" w:hAnsi="Roboto"/>
        </w:rPr>
        <w:t>strongly encourage</w:t>
      </w:r>
      <w:r w:rsidR="004B024A" w:rsidRPr="00877CEC">
        <w:rPr>
          <w:rFonts w:ascii="Roboto" w:eastAsia="Times New Roman" w:hAnsi="Roboto"/>
        </w:rPr>
        <w:t xml:space="preserve"> </w:t>
      </w:r>
      <w:r w:rsidR="003B7583" w:rsidRPr="00877CEC">
        <w:rPr>
          <w:rFonts w:ascii="Roboto" w:eastAsia="Times New Roman" w:hAnsi="Roboto"/>
        </w:rPr>
        <w:t xml:space="preserve">Medicare </w:t>
      </w:r>
      <w:r w:rsidR="006E3615" w:rsidRPr="00877CEC">
        <w:rPr>
          <w:rFonts w:ascii="Roboto" w:eastAsia="Times New Roman" w:hAnsi="Roboto"/>
        </w:rPr>
        <w:t xml:space="preserve">to </w:t>
      </w:r>
      <w:r w:rsidR="003B7583" w:rsidRPr="00877CEC">
        <w:rPr>
          <w:rFonts w:ascii="Roboto" w:eastAsia="Times New Roman" w:hAnsi="Roboto"/>
        </w:rPr>
        <w:t xml:space="preserve">establish distinct new HCPCS or CPT codes </w:t>
      </w:r>
      <w:r>
        <w:rPr>
          <w:rFonts w:ascii="Roboto" w:eastAsia="Times New Roman" w:hAnsi="Roboto"/>
        </w:rPr>
        <w:t xml:space="preserve">to </w:t>
      </w:r>
      <w:r w:rsidR="006E3615" w:rsidRPr="00877CEC">
        <w:rPr>
          <w:rFonts w:ascii="Roboto" w:eastAsia="Times New Roman" w:hAnsi="Roboto"/>
        </w:rPr>
        <w:t xml:space="preserve">distinguish </w:t>
      </w:r>
      <w:r w:rsidR="003B7583" w:rsidRPr="00877CEC">
        <w:rPr>
          <w:rFonts w:ascii="Roboto" w:eastAsia="Times New Roman" w:hAnsi="Roboto"/>
        </w:rPr>
        <w:t>continuous, longitudinal primary care from standard episodic or consultative office visits</w:t>
      </w:r>
      <w:r w:rsidR="00024DAC" w:rsidRPr="00877CEC">
        <w:rPr>
          <w:rFonts w:ascii="Roboto" w:eastAsia="Times New Roman" w:hAnsi="Roboto"/>
        </w:rPr>
        <w:t xml:space="preserve">. </w:t>
      </w:r>
      <w:r w:rsidR="004B024A" w:rsidRPr="00877CEC">
        <w:rPr>
          <w:rFonts w:ascii="Roboto" w:eastAsia="Times New Roman" w:hAnsi="Roboto"/>
        </w:rPr>
        <w:t>The G2211 code was an initial step forward</w:t>
      </w:r>
      <w:r w:rsidR="006E3615" w:rsidRPr="00877CEC">
        <w:rPr>
          <w:rFonts w:ascii="Roboto" w:eastAsia="Times New Roman" w:hAnsi="Roboto"/>
        </w:rPr>
        <w:t xml:space="preserve"> in this regard,</w:t>
      </w:r>
      <w:r w:rsidR="004B024A" w:rsidRPr="00877CEC">
        <w:rPr>
          <w:rFonts w:ascii="Roboto" w:eastAsia="Times New Roman" w:hAnsi="Roboto"/>
        </w:rPr>
        <w:t xml:space="preserve"> but </w:t>
      </w:r>
      <w:r w:rsidR="00024DAC" w:rsidRPr="00877CEC">
        <w:rPr>
          <w:rFonts w:ascii="Roboto" w:eastAsia="Times New Roman" w:hAnsi="Roboto"/>
        </w:rPr>
        <w:t>in practice, the majority of payments for G2211 have gone to specialists</w:t>
      </w:r>
      <w:r w:rsidR="006E3615" w:rsidRPr="00877CEC">
        <w:rPr>
          <w:rFonts w:ascii="Roboto" w:eastAsia="Times New Roman" w:hAnsi="Roboto"/>
        </w:rPr>
        <w:t xml:space="preserve"> </w:t>
      </w:r>
      <w:r w:rsidR="00442BD7">
        <w:rPr>
          <w:rFonts w:ascii="Roboto" w:eastAsia="Times New Roman" w:hAnsi="Roboto"/>
        </w:rPr>
        <w:t>for</w:t>
      </w:r>
      <w:r w:rsidR="006E3615" w:rsidRPr="00877CEC">
        <w:rPr>
          <w:rFonts w:ascii="Roboto" w:eastAsia="Times New Roman" w:hAnsi="Roboto"/>
        </w:rPr>
        <w:t xml:space="preserve"> providing </w:t>
      </w:r>
      <w:r w:rsidR="00F82E99" w:rsidRPr="00877CEC">
        <w:rPr>
          <w:rFonts w:ascii="Roboto" w:eastAsia="Times New Roman" w:hAnsi="Roboto"/>
        </w:rPr>
        <w:t xml:space="preserve">ongoing care </w:t>
      </w:r>
      <w:r w:rsidR="00442BD7">
        <w:rPr>
          <w:rFonts w:ascii="Roboto" w:eastAsia="Times New Roman" w:hAnsi="Roboto"/>
        </w:rPr>
        <w:t xml:space="preserve">to a patient for a </w:t>
      </w:r>
      <w:r w:rsidR="00F82E99" w:rsidRPr="00877CEC">
        <w:rPr>
          <w:rFonts w:ascii="Roboto" w:eastAsia="Times New Roman" w:hAnsi="Roboto"/>
        </w:rPr>
        <w:t xml:space="preserve">serious </w:t>
      </w:r>
      <w:r w:rsidR="00442BD7">
        <w:rPr>
          <w:rFonts w:ascii="Roboto" w:eastAsia="Times New Roman" w:hAnsi="Roboto"/>
        </w:rPr>
        <w:t xml:space="preserve">or complex </w:t>
      </w:r>
      <w:r w:rsidR="00F82E99" w:rsidRPr="00877CEC">
        <w:rPr>
          <w:rFonts w:ascii="Roboto" w:eastAsia="Times New Roman" w:hAnsi="Roboto"/>
        </w:rPr>
        <w:t xml:space="preserve">condition </w:t>
      </w:r>
      <w:r w:rsidR="00442BD7">
        <w:rPr>
          <w:rFonts w:ascii="Roboto" w:eastAsia="Times New Roman" w:hAnsi="Roboto"/>
        </w:rPr>
        <w:t xml:space="preserve">they specialize in, rather than serving as a </w:t>
      </w:r>
      <w:r w:rsidR="008C762C">
        <w:rPr>
          <w:rFonts w:ascii="Roboto" w:eastAsia="Times New Roman" w:hAnsi="Roboto"/>
        </w:rPr>
        <w:t>focal point for coordinating the array of conditions a patient presents across time. It is clear that c</w:t>
      </w:r>
      <w:r w:rsidR="00C9258B" w:rsidRPr="00877CEC">
        <w:rPr>
          <w:rFonts w:ascii="Roboto" w:eastAsia="Times New Roman" w:hAnsi="Roboto"/>
        </w:rPr>
        <w:t>ontinuous, longitudinal care is associated with better outcomes</w:t>
      </w:r>
      <w:r w:rsidR="00D82732" w:rsidRPr="00877CEC">
        <w:rPr>
          <w:rFonts w:ascii="Roboto" w:eastAsia="Times New Roman" w:hAnsi="Roboto"/>
        </w:rPr>
        <w:t>,</w:t>
      </w:r>
      <w:r w:rsidR="00C9258B">
        <w:rPr>
          <w:rStyle w:val="FootnoteReference"/>
          <w:rFonts w:ascii="Roboto" w:eastAsia="Times New Roman" w:hAnsi="Roboto"/>
        </w:rPr>
        <w:footnoteReference w:id="8"/>
      </w:r>
      <w:r w:rsidR="00C9258B" w:rsidRPr="00877CEC">
        <w:rPr>
          <w:rFonts w:ascii="Roboto" w:eastAsia="Times New Roman" w:hAnsi="Roboto"/>
        </w:rPr>
        <w:t xml:space="preserve"> </w:t>
      </w:r>
      <w:r w:rsidR="00D82732" w:rsidRPr="00877CEC">
        <w:rPr>
          <w:rFonts w:ascii="Roboto" w:eastAsia="Times New Roman" w:hAnsi="Roboto"/>
        </w:rPr>
        <w:t>and th</w:t>
      </w:r>
      <w:r w:rsidR="008C762C">
        <w:rPr>
          <w:rFonts w:ascii="Roboto" w:eastAsia="Times New Roman" w:hAnsi="Roboto"/>
        </w:rPr>
        <w:t xml:space="preserve">at there should be a way to distinguish and reward primary care for its </w:t>
      </w:r>
      <w:r w:rsidR="00D82732" w:rsidRPr="00877CEC">
        <w:rPr>
          <w:rFonts w:ascii="Roboto" w:eastAsia="Times New Roman" w:hAnsi="Roboto"/>
        </w:rPr>
        <w:t xml:space="preserve">important role </w:t>
      </w:r>
      <w:r w:rsidR="008C762C">
        <w:rPr>
          <w:rFonts w:ascii="Roboto" w:eastAsia="Times New Roman" w:hAnsi="Roboto"/>
        </w:rPr>
        <w:t>in</w:t>
      </w:r>
      <w:r w:rsidR="00D82732" w:rsidRPr="00877CEC">
        <w:rPr>
          <w:rFonts w:ascii="Roboto" w:eastAsia="Times New Roman" w:hAnsi="Roboto"/>
        </w:rPr>
        <w:t xml:space="preserve"> seeing the patient as a whole over time and coordinating their care needs overall in partnership with specialists. </w:t>
      </w:r>
    </w:p>
    <w:p w14:paraId="79CF1ADB" w14:textId="77777777" w:rsidR="00D82732" w:rsidRPr="003B7583" w:rsidRDefault="00D82732" w:rsidP="003B7583">
      <w:pPr>
        <w:rPr>
          <w:rFonts w:ascii="Roboto" w:eastAsia="Times New Roman" w:hAnsi="Roboto"/>
        </w:rPr>
      </w:pPr>
    </w:p>
    <w:p w14:paraId="06A44761" w14:textId="4A9273B5" w:rsidR="00766243" w:rsidRDefault="00114E51" w:rsidP="00CC19A5">
      <w:pPr>
        <w:pStyle w:val="ListParagraph"/>
        <w:numPr>
          <w:ilvl w:val="0"/>
          <w:numId w:val="40"/>
        </w:numPr>
        <w:spacing w:after="160"/>
        <w:rPr>
          <w:rFonts w:ascii="Arial" w:eastAsia="Times New Roman" w:hAnsi="Arial" w:cs="Arial"/>
        </w:rPr>
      </w:pPr>
      <w:r>
        <w:rPr>
          <w:rFonts w:ascii="Roboto" w:eastAsia="Times New Roman" w:hAnsi="Roboto"/>
          <w:b/>
          <w:bCs/>
        </w:rPr>
        <w:t>Maximiz</w:t>
      </w:r>
      <w:r w:rsidR="00B60D23">
        <w:rPr>
          <w:rFonts w:ascii="Roboto" w:eastAsia="Times New Roman" w:hAnsi="Roboto"/>
          <w:b/>
          <w:bCs/>
        </w:rPr>
        <w:t xml:space="preserve">ing </w:t>
      </w:r>
      <w:r w:rsidR="00EB58CE">
        <w:rPr>
          <w:rFonts w:ascii="Roboto" w:eastAsia="Times New Roman" w:hAnsi="Roboto"/>
          <w:b/>
          <w:bCs/>
        </w:rPr>
        <w:t xml:space="preserve">the Potential of </w:t>
      </w:r>
      <w:r w:rsidR="003B7583" w:rsidRPr="008C762C">
        <w:rPr>
          <w:rFonts w:ascii="Roboto" w:eastAsia="Times New Roman" w:hAnsi="Roboto"/>
          <w:b/>
          <w:bCs/>
        </w:rPr>
        <w:t>Care Management:</w:t>
      </w:r>
      <w:r w:rsidR="003B7583" w:rsidRPr="008C762C">
        <w:rPr>
          <w:rFonts w:ascii="Roboto" w:eastAsia="Times New Roman" w:hAnsi="Roboto"/>
        </w:rPr>
        <w:t xml:space="preserve"> </w:t>
      </w:r>
      <w:r w:rsidR="008C762C" w:rsidRPr="008C762C">
        <w:rPr>
          <w:rFonts w:ascii="Roboto" w:eastAsia="Times New Roman" w:hAnsi="Roboto"/>
        </w:rPr>
        <w:t>The RFI asks w</w:t>
      </w:r>
      <w:r w:rsidR="003B7583" w:rsidRPr="008C762C">
        <w:rPr>
          <w:rFonts w:ascii="Roboto" w:eastAsia="Times New Roman" w:hAnsi="Roboto"/>
        </w:rPr>
        <w:t>hether existing care management services—such as Chronic Care Management (CCM), Principal Care Management (PCM), Transitional Care Management (TCM), and Advanced Primary Care Management (APCM)—should be simplified, streamlined, or fully consolidated.</w:t>
      </w:r>
      <w:r w:rsidR="00766243" w:rsidRPr="008C762C">
        <w:rPr>
          <w:rFonts w:ascii="Arial" w:eastAsia="Times New Roman" w:hAnsi="Arial" w:cs="Arial"/>
        </w:rPr>
        <w:t xml:space="preserve"> </w:t>
      </w:r>
      <w:r w:rsidR="008C762C" w:rsidRPr="008C762C">
        <w:rPr>
          <w:rFonts w:ascii="Arial" w:eastAsia="Times New Roman" w:hAnsi="Arial" w:cs="Arial"/>
        </w:rPr>
        <w:t xml:space="preserve"> </w:t>
      </w:r>
      <w:r w:rsidR="00CF7FF7" w:rsidRPr="008C762C">
        <w:rPr>
          <w:rFonts w:ascii="Arial" w:eastAsia="Times New Roman" w:hAnsi="Arial" w:cs="Arial"/>
        </w:rPr>
        <w:t>We see the merit of retaining the family of care management codes that CMS has developed over time</w:t>
      </w:r>
      <w:r w:rsidR="00C405F0">
        <w:rPr>
          <w:rFonts w:ascii="Arial" w:eastAsia="Times New Roman" w:hAnsi="Arial" w:cs="Arial"/>
        </w:rPr>
        <w:t xml:space="preserve"> </w:t>
      </w:r>
      <w:r w:rsidR="008C762C">
        <w:rPr>
          <w:rFonts w:ascii="Arial" w:eastAsia="Times New Roman" w:hAnsi="Arial" w:cs="Arial"/>
        </w:rPr>
        <w:t xml:space="preserve">and believe that the APCM codes and their add-ons are </w:t>
      </w:r>
      <w:r w:rsidR="00C405F0">
        <w:rPr>
          <w:rFonts w:ascii="Arial" w:eastAsia="Times New Roman" w:hAnsi="Arial" w:cs="Arial"/>
        </w:rPr>
        <w:t>well-p</w:t>
      </w:r>
      <w:r w:rsidR="008C762C">
        <w:rPr>
          <w:rFonts w:ascii="Arial" w:eastAsia="Times New Roman" w:hAnsi="Arial" w:cs="Arial"/>
        </w:rPr>
        <w:t>oised as a chassis for care management evolution</w:t>
      </w:r>
      <w:r w:rsidR="006C5D79" w:rsidRPr="008C762C">
        <w:rPr>
          <w:rFonts w:ascii="Arial" w:eastAsia="Times New Roman" w:hAnsi="Arial" w:cs="Arial"/>
        </w:rPr>
        <w:t xml:space="preserve">. </w:t>
      </w:r>
      <w:r w:rsidR="008E2EB9" w:rsidRPr="008C762C">
        <w:rPr>
          <w:rFonts w:ascii="Arial" w:eastAsia="Times New Roman" w:hAnsi="Arial" w:cs="Arial"/>
        </w:rPr>
        <w:t xml:space="preserve">It is essential that these codes be free from cost-sharing. </w:t>
      </w:r>
      <w:r w:rsidR="008C762C">
        <w:rPr>
          <w:rFonts w:ascii="Arial" w:eastAsia="Times New Roman" w:hAnsi="Arial" w:cs="Arial"/>
        </w:rPr>
        <w:t xml:space="preserve">Much more important than adding new codes is waiving cost-sharing for care management. </w:t>
      </w:r>
      <w:r w:rsidR="006B13C5">
        <w:rPr>
          <w:rFonts w:ascii="Arial" w:eastAsia="Times New Roman" w:hAnsi="Arial" w:cs="Arial"/>
        </w:rPr>
        <w:t>F</w:t>
      </w:r>
      <w:r w:rsidR="00766243" w:rsidRPr="008C762C">
        <w:rPr>
          <w:rFonts w:ascii="Arial" w:eastAsia="Times New Roman" w:hAnsi="Arial" w:cs="Arial"/>
        </w:rPr>
        <w:t>ree</w:t>
      </w:r>
      <w:r w:rsidR="006B13C5">
        <w:rPr>
          <w:rFonts w:ascii="Arial" w:eastAsia="Times New Roman" w:hAnsi="Arial" w:cs="Arial"/>
        </w:rPr>
        <w:t>ing care management codes</w:t>
      </w:r>
      <w:r w:rsidR="00766243" w:rsidRPr="008C762C">
        <w:rPr>
          <w:rFonts w:ascii="Arial" w:eastAsia="Times New Roman" w:hAnsi="Arial" w:cs="Arial"/>
        </w:rPr>
        <w:t xml:space="preserve"> from patient cost-sharing</w:t>
      </w:r>
      <w:r w:rsidR="006B13C5">
        <w:rPr>
          <w:rFonts w:ascii="Arial" w:eastAsia="Times New Roman" w:hAnsi="Arial" w:cs="Arial"/>
        </w:rPr>
        <w:t xml:space="preserve"> is </w:t>
      </w:r>
      <w:r w:rsidR="00CC19A5">
        <w:rPr>
          <w:rFonts w:ascii="Arial" w:eastAsia="Times New Roman" w:hAnsi="Arial" w:cs="Arial"/>
        </w:rPr>
        <w:t xml:space="preserve">also one of </w:t>
      </w:r>
      <w:r w:rsidR="006B13C5">
        <w:rPr>
          <w:rFonts w:ascii="Arial" w:eastAsia="Times New Roman" w:hAnsi="Arial" w:cs="Arial"/>
        </w:rPr>
        <w:t>best tools that CMS has available,</w:t>
      </w:r>
      <w:r w:rsidR="00CC19A5">
        <w:rPr>
          <w:rFonts w:ascii="Arial" w:eastAsia="Times New Roman" w:hAnsi="Arial" w:cs="Arial"/>
        </w:rPr>
        <w:t xml:space="preserve"> to</w:t>
      </w:r>
      <w:r w:rsidR="006B13C5" w:rsidRPr="00CC19A5">
        <w:rPr>
          <w:rFonts w:ascii="Arial" w:eastAsia="Times New Roman" w:hAnsi="Arial" w:cs="Arial"/>
        </w:rPr>
        <w:t xml:space="preserve"> encourage coordination with specialty p</w:t>
      </w:r>
      <w:r w:rsidR="00766243" w:rsidRPr="00CC19A5">
        <w:rPr>
          <w:rFonts w:ascii="Arial" w:eastAsia="Times New Roman" w:hAnsi="Arial" w:cs="Arial"/>
        </w:rPr>
        <w:t>hysicians</w:t>
      </w:r>
      <w:r w:rsidR="00CC19A5">
        <w:rPr>
          <w:rFonts w:ascii="Arial" w:eastAsia="Times New Roman" w:hAnsi="Arial" w:cs="Arial"/>
        </w:rPr>
        <w:t>.</w:t>
      </w:r>
      <w:r w:rsidR="00653B15">
        <w:rPr>
          <w:rFonts w:ascii="Arial" w:eastAsia="Times New Roman" w:hAnsi="Arial" w:cs="Arial"/>
        </w:rPr>
        <w:br/>
      </w:r>
    </w:p>
    <w:p w14:paraId="33B43845" w14:textId="77777777" w:rsidR="006D775D" w:rsidRDefault="00653B15" w:rsidP="006D775D">
      <w:pPr>
        <w:pStyle w:val="ListParagraph"/>
        <w:spacing w:after="160"/>
        <w:rPr>
          <w:rFonts w:ascii="Arial" w:eastAsia="Times New Roman" w:hAnsi="Arial" w:cs="Arial"/>
        </w:rPr>
      </w:pPr>
      <w:r>
        <w:rPr>
          <w:rFonts w:ascii="Arial" w:eastAsia="Times New Roman" w:hAnsi="Arial" w:cs="Arial"/>
        </w:rPr>
        <w:t xml:space="preserve">In Michigan, we are grateful that our commercial payers recognized the barrier that patient-cost sharing for care management presents and have worked to waive cost-sharing for these codes. This has been a force multiplier that has helped to spread team-based care and advanced primary care management in our state.   </w:t>
      </w:r>
    </w:p>
    <w:p w14:paraId="51BC3C24" w14:textId="77777777" w:rsidR="006D775D" w:rsidRDefault="006D775D" w:rsidP="006D775D">
      <w:pPr>
        <w:pStyle w:val="ListParagraph"/>
        <w:spacing w:after="160"/>
        <w:rPr>
          <w:rFonts w:ascii="Arial" w:eastAsia="Times New Roman" w:hAnsi="Arial" w:cs="Arial"/>
        </w:rPr>
      </w:pPr>
    </w:p>
    <w:p w14:paraId="0FE6647F" w14:textId="71B8C027" w:rsidR="006D775D" w:rsidRPr="003904F9" w:rsidRDefault="00BB27FA" w:rsidP="006D775D">
      <w:pPr>
        <w:pStyle w:val="ListParagraph"/>
        <w:numPr>
          <w:ilvl w:val="0"/>
          <w:numId w:val="40"/>
        </w:numPr>
        <w:spacing w:after="160"/>
        <w:rPr>
          <w:rFonts w:ascii="Arial" w:eastAsia="Times New Roman" w:hAnsi="Arial" w:cs="Arial"/>
        </w:rPr>
      </w:pPr>
      <w:r>
        <w:rPr>
          <w:rFonts w:ascii="Roboto" w:eastAsia="Times New Roman" w:hAnsi="Roboto"/>
          <w:b/>
          <w:bCs/>
        </w:rPr>
        <w:t xml:space="preserve">Developing </w:t>
      </w:r>
      <w:r w:rsidR="003B7583" w:rsidRPr="00877CEC">
        <w:rPr>
          <w:rFonts w:ascii="Roboto" w:eastAsia="Times New Roman" w:hAnsi="Roboto"/>
          <w:b/>
          <w:bCs/>
        </w:rPr>
        <w:t>Prospective and Capitated Models</w:t>
      </w:r>
      <w:r w:rsidR="006D775D">
        <w:rPr>
          <w:rFonts w:ascii="Roboto" w:eastAsia="Times New Roman" w:hAnsi="Roboto"/>
          <w:b/>
          <w:bCs/>
        </w:rPr>
        <w:t>, and Levering Hybrid Payment</w:t>
      </w:r>
      <w:r w:rsidR="003B7583" w:rsidRPr="00877CEC">
        <w:rPr>
          <w:rFonts w:ascii="Roboto" w:eastAsia="Times New Roman" w:hAnsi="Roboto"/>
          <w:b/>
          <w:bCs/>
        </w:rPr>
        <w:t>:</w:t>
      </w:r>
      <w:r w:rsidR="003B7583" w:rsidRPr="00877CEC">
        <w:rPr>
          <w:rFonts w:ascii="Roboto" w:eastAsia="Times New Roman" w:hAnsi="Roboto"/>
        </w:rPr>
        <w:t xml:space="preserve"> </w:t>
      </w:r>
      <w:r>
        <w:rPr>
          <w:rFonts w:ascii="Roboto" w:eastAsia="Times New Roman" w:hAnsi="Roboto"/>
        </w:rPr>
        <w:t xml:space="preserve">Prospective, capitated models with sufficient payment to fund the underlying work is an intriguing way to resource primary care. </w:t>
      </w:r>
      <w:r w:rsidR="00140F9E">
        <w:rPr>
          <w:rFonts w:ascii="Roboto" w:eastAsia="Times New Roman" w:hAnsi="Roboto"/>
        </w:rPr>
        <w:t xml:space="preserve">We encourage </w:t>
      </w:r>
      <w:r>
        <w:rPr>
          <w:rFonts w:ascii="Roboto" w:eastAsia="Times New Roman" w:hAnsi="Roboto"/>
        </w:rPr>
        <w:t>their development and CMS’ work to achieve 100% of Medicare beneficiaries in accountable care relationships. A</w:t>
      </w:r>
      <w:r w:rsidR="003B7583" w:rsidRPr="00877CEC">
        <w:rPr>
          <w:rFonts w:ascii="Roboto" w:eastAsia="Times New Roman" w:hAnsi="Roboto"/>
        </w:rPr>
        <w:t xml:space="preserve"> capitated primary care payment model within the Medicare Shared Savings Program (MSSP) </w:t>
      </w:r>
      <w:r>
        <w:rPr>
          <w:rFonts w:ascii="Roboto" w:eastAsia="Times New Roman" w:hAnsi="Roboto"/>
        </w:rPr>
        <w:t xml:space="preserve">is a good first step, and when accountable care linkages can be achieved, in </w:t>
      </w:r>
      <w:r w:rsidR="003B7583" w:rsidRPr="00877CEC">
        <w:rPr>
          <w:rFonts w:ascii="Roboto" w:eastAsia="Times New Roman" w:hAnsi="Roboto"/>
        </w:rPr>
        <w:t>Original Medicare.</w:t>
      </w:r>
      <w:r w:rsidR="006D775D">
        <w:rPr>
          <w:rFonts w:ascii="Roboto" w:eastAsia="Times New Roman" w:hAnsi="Roboto"/>
        </w:rPr>
        <w:br/>
      </w:r>
      <w:r w:rsidR="006D775D">
        <w:rPr>
          <w:rFonts w:ascii="Roboto" w:eastAsia="Times New Roman" w:hAnsi="Roboto"/>
        </w:rPr>
        <w:br/>
      </w:r>
      <w:r w:rsidR="006D775D" w:rsidRPr="003904F9">
        <w:rPr>
          <w:rFonts w:ascii="Arial" w:eastAsia="Times New Roman" w:hAnsi="Arial" w:cs="Arial"/>
        </w:rPr>
        <w:t>For providers in ACOs, we encourage that CMS waive APCM care management fees to provide practices with resources to build a ready and responsive team to support care management, coordination, and preventive needs as one component of hybrid payment for primary care. A second component should be a prospective, risk-adjusted payment to replace a portion of FFS payment, leaving FFS payment as the vehicle for services that we want to see more of (e.g., routine preventive care, vaccinations, etc.). The third component would be performance on a slim but powerful set of five metrics:</w:t>
      </w:r>
      <w:r w:rsidR="000F3715">
        <w:rPr>
          <w:rFonts w:ascii="Arial" w:eastAsia="Times New Roman" w:hAnsi="Arial" w:cs="Arial"/>
        </w:rPr>
        <w:br/>
      </w:r>
    </w:p>
    <w:p w14:paraId="14AA08B9" w14:textId="77777777" w:rsidR="006D775D" w:rsidRPr="003904F9" w:rsidRDefault="006D775D" w:rsidP="006D775D">
      <w:pPr>
        <w:pStyle w:val="ListParagraph"/>
        <w:numPr>
          <w:ilvl w:val="0"/>
          <w:numId w:val="34"/>
        </w:numPr>
        <w:autoSpaceDE w:val="0"/>
        <w:autoSpaceDN w:val="0"/>
        <w:adjustRightInd w:val="0"/>
        <w:rPr>
          <w:rFonts w:ascii="Arial" w:eastAsia="Times New Roman" w:hAnsi="Arial" w:cs="Arial"/>
        </w:rPr>
      </w:pPr>
      <w:r w:rsidRPr="003904F9">
        <w:rPr>
          <w:rFonts w:ascii="Arial" w:eastAsia="Times New Roman" w:hAnsi="Arial" w:cs="Arial"/>
        </w:rPr>
        <w:t>Controlling High Blood Pressure (Quality ID 236): An intermediate outcome measure tracking the percentage of adult patients aged 18–85 with a hypertension diagnosis whose blood pressure was adequately controlled (&lt;140/90 mmHg) during the measurement period.</w:t>
      </w:r>
    </w:p>
    <w:p w14:paraId="5A1D579B" w14:textId="77777777" w:rsidR="006D775D" w:rsidRPr="003904F9" w:rsidRDefault="006D775D" w:rsidP="006D775D">
      <w:pPr>
        <w:pStyle w:val="ListParagraph"/>
        <w:numPr>
          <w:ilvl w:val="0"/>
          <w:numId w:val="34"/>
        </w:numPr>
        <w:autoSpaceDE w:val="0"/>
        <w:autoSpaceDN w:val="0"/>
        <w:adjustRightInd w:val="0"/>
        <w:rPr>
          <w:rFonts w:ascii="Arial" w:eastAsia="Times New Roman" w:hAnsi="Arial" w:cs="Arial"/>
        </w:rPr>
      </w:pPr>
      <w:r w:rsidRPr="003904F9">
        <w:rPr>
          <w:rFonts w:ascii="Arial" w:eastAsia="Times New Roman" w:hAnsi="Arial" w:cs="Arial"/>
        </w:rPr>
        <w:t>Diabetes HbA1c Control: An intermediate outcome measure evaluating whether patients with diabetes maintain glycemic control, which is critical to preventing long-term microvascular and macrovascular complications.</w:t>
      </w:r>
    </w:p>
    <w:p w14:paraId="32B6AA34" w14:textId="77777777" w:rsidR="006D775D" w:rsidRPr="003904F9" w:rsidRDefault="006D775D" w:rsidP="006D775D">
      <w:pPr>
        <w:pStyle w:val="ListParagraph"/>
        <w:numPr>
          <w:ilvl w:val="0"/>
          <w:numId w:val="34"/>
        </w:numPr>
        <w:autoSpaceDE w:val="0"/>
        <w:autoSpaceDN w:val="0"/>
        <w:adjustRightInd w:val="0"/>
        <w:rPr>
          <w:rFonts w:ascii="Arial" w:eastAsia="Times New Roman" w:hAnsi="Arial" w:cs="Arial"/>
        </w:rPr>
      </w:pPr>
      <w:r w:rsidRPr="003904F9">
        <w:rPr>
          <w:rFonts w:ascii="Arial" w:eastAsia="Times New Roman" w:hAnsi="Arial" w:cs="Arial"/>
        </w:rPr>
        <w:t>Avoidable emergency room visits</w:t>
      </w:r>
      <w:r w:rsidRPr="003904F9">
        <w:rPr>
          <w:rStyle w:val="FootnoteReference"/>
          <w:rFonts w:ascii="Arial" w:eastAsia="Times New Roman" w:hAnsi="Arial" w:cs="Arial"/>
        </w:rPr>
        <w:footnoteReference w:id="9"/>
      </w:r>
    </w:p>
    <w:p w14:paraId="24AC5F04" w14:textId="77777777" w:rsidR="006D775D" w:rsidRPr="003904F9" w:rsidRDefault="006D775D" w:rsidP="006D775D">
      <w:pPr>
        <w:pStyle w:val="ListParagraph"/>
        <w:numPr>
          <w:ilvl w:val="0"/>
          <w:numId w:val="34"/>
        </w:numPr>
        <w:autoSpaceDE w:val="0"/>
        <w:autoSpaceDN w:val="0"/>
        <w:adjustRightInd w:val="0"/>
        <w:rPr>
          <w:rFonts w:ascii="Arial" w:eastAsia="Times New Roman" w:hAnsi="Arial" w:cs="Arial"/>
        </w:rPr>
      </w:pPr>
      <w:r w:rsidRPr="003904F9">
        <w:rPr>
          <w:rFonts w:ascii="Arial" w:eastAsia="Times New Roman" w:hAnsi="Arial" w:cs="Arial"/>
        </w:rPr>
        <w:t>Primary care-sensitive inpatient admissions</w:t>
      </w:r>
      <w:r w:rsidRPr="003904F9">
        <w:rPr>
          <w:rStyle w:val="FootnoteReference"/>
          <w:rFonts w:ascii="Arial" w:eastAsia="Times New Roman" w:hAnsi="Arial" w:cs="Arial"/>
        </w:rPr>
        <w:footnoteReference w:id="10"/>
      </w:r>
    </w:p>
    <w:p w14:paraId="03C5D2EE" w14:textId="13EA31E7" w:rsidR="006D775D" w:rsidRDefault="006D775D" w:rsidP="006D775D">
      <w:pPr>
        <w:pStyle w:val="ListParagraph"/>
        <w:numPr>
          <w:ilvl w:val="0"/>
          <w:numId w:val="34"/>
        </w:numPr>
        <w:autoSpaceDE w:val="0"/>
        <w:autoSpaceDN w:val="0"/>
        <w:adjustRightInd w:val="0"/>
        <w:rPr>
          <w:rFonts w:ascii="Arial" w:eastAsia="Times New Roman" w:hAnsi="Arial" w:cs="Arial"/>
        </w:rPr>
      </w:pPr>
      <w:r w:rsidRPr="003904F9">
        <w:rPr>
          <w:rFonts w:ascii="Arial" w:eastAsia="Times New Roman" w:hAnsi="Arial" w:cs="Arial"/>
        </w:rPr>
        <w:t>Person-Centered Primary Care Measure</w:t>
      </w:r>
      <w:r>
        <w:rPr>
          <w:rFonts w:ascii="Arial" w:eastAsia="Times New Roman" w:hAnsi="Arial" w:cs="Arial"/>
        </w:rPr>
        <w:br/>
      </w:r>
    </w:p>
    <w:p w14:paraId="3FF62AFA" w14:textId="77777777" w:rsidR="006D775D" w:rsidRDefault="006D775D" w:rsidP="006D775D">
      <w:pPr>
        <w:spacing w:after="160"/>
        <w:ind w:left="1080"/>
        <w:rPr>
          <w:rFonts w:ascii="Arial" w:eastAsia="Times New Roman" w:hAnsi="Arial" w:cs="Arial"/>
        </w:rPr>
      </w:pPr>
      <w:r w:rsidRPr="006D775D">
        <w:rPr>
          <w:rFonts w:ascii="Arial" w:eastAsia="Times New Roman" w:hAnsi="Arial" w:cs="Arial"/>
        </w:rPr>
        <w:t xml:space="preserve">We support moving toward population based hybrid payments where incentives both drive desired outcomes and provide long-term stability and flexibility in how a service is delivered. As payment shifts to hybrid payment, accurate fee-for-service payment for team-based, non-visit-based services remains important for two reasons. First, APCM and other care management services can prevent costly chronic disease complications and downstream costs, including for those beneficiaries whose clinician is not an alternative payment model participant. Second, ensuring accurate payment today can provide the building blocks for more robust hybrid payment in the future. </w:t>
      </w:r>
    </w:p>
    <w:p w14:paraId="65416F72" w14:textId="42AB4801" w:rsidR="006D775D" w:rsidRPr="006D775D" w:rsidRDefault="006D775D" w:rsidP="006D775D">
      <w:pPr>
        <w:spacing w:after="160"/>
        <w:ind w:left="1080"/>
        <w:rPr>
          <w:rFonts w:ascii="Arial" w:eastAsia="Times New Roman" w:hAnsi="Arial" w:cs="Arial"/>
        </w:rPr>
      </w:pPr>
      <w:r w:rsidRPr="006D775D">
        <w:rPr>
          <w:rFonts w:ascii="Arial" w:eastAsia="Times New Roman" w:hAnsi="Arial" w:cs="Arial"/>
        </w:rPr>
        <w:t xml:space="preserve">Hybrid or primary care capitated payment should be available to all MSSP ACOs at the practice level. A base primary care capitation should incorporate payment for care management, E&amp;M visits and evidence-informed screening and referral for behavioral health &amp; social needs; Services outside the base should be payable on a fee-for-service basis (e.g. BHI, inpatient E&amp;M). </w:t>
      </w:r>
    </w:p>
    <w:p w14:paraId="1A70EE14" w14:textId="77777777" w:rsidR="006D775D" w:rsidRPr="006D775D" w:rsidRDefault="006D775D" w:rsidP="006D775D">
      <w:pPr>
        <w:autoSpaceDE w:val="0"/>
        <w:autoSpaceDN w:val="0"/>
        <w:adjustRightInd w:val="0"/>
        <w:rPr>
          <w:rFonts w:ascii="Arial" w:eastAsia="Times New Roman" w:hAnsi="Arial" w:cs="Arial"/>
        </w:rPr>
      </w:pPr>
    </w:p>
    <w:p w14:paraId="2D3349F3" w14:textId="23A8C0A7" w:rsidR="00653B15" w:rsidRDefault="003B7583" w:rsidP="00653B15">
      <w:pPr>
        <w:pStyle w:val="ListParagraph"/>
        <w:numPr>
          <w:ilvl w:val="0"/>
          <w:numId w:val="40"/>
        </w:numPr>
        <w:rPr>
          <w:rFonts w:ascii="Roboto" w:eastAsia="Times New Roman" w:hAnsi="Roboto"/>
        </w:rPr>
      </w:pPr>
      <w:r w:rsidRPr="00877CEC">
        <w:rPr>
          <w:rFonts w:ascii="Roboto" w:eastAsia="Times New Roman" w:hAnsi="Roboto"/>
          <w:b/>
          <w:bCs/>
        </w:rPr>
        <w:t>A "Primary Care Global Period":</w:t>
      </w:r>
      <w:r w:rsidRPr="00877CEC">
        <w:rPr>
          <w:rFonts w:ascii="Roboto" w:eastAsia="Times New Roman" w:hAnsi="Roboto"/>
        </w:rPr>
        <w:t xml:space="preserve"> W</w:t>
      </w:r>
      <w:r w:rsidR="00BB27FA">
        <w:rPr>
          <w:rFonts w:ascii="Roboto" w:eastAsia="Times New Roman" w:hAnsi="Roboto"/>
        </w:rPr>
        <w:t xml:space="preserve">e also support exploration of a </w:t>
      </w:r>
      <w:r w:rsidRPr="00877CEC">
        <w:rPr>
          <w:rFonts w:ascii="Roboto" w:eastAsia="Times New Roman" w:hAnsi="Roboto"/>
        </w:rPr>
        <w:t>bundled "primary care global period" that groups Evaluation and Management (E/M) visits, Annual Wellness Visits, and ongoing care management activities into a single prospective payment.</w:t>
      </w:r>
      <w:r w:rsidR="00BB27FA">
        <w:rPr>
          <w:rFonts w:ascii="Roboto" w:eastAsia="Times New Roman" w:hAnsi="Roboto"/>
        </w:rPr>
        <w:t xml:space="preserve"> We also believe that there are lessons that have been learned  from CMS experimentation with bundles for other service types, particularly regarding appropriate risk adjustment </w:t>
      </w:r>
      <w:r w:rsidR="00653B15">
        <w:rPr>
          <w:rFonts w:ascii="Roboto" w:eastAsia="Times New Roman" w:hAnsi="Roboto"/>
        </w:rPr>
        <w:t>for complex patients.</w:t>
      </w:r>
      <w:r w:rsidRPr="00877CEC">
        <w:rPr>
          <w:rFonts w:ascii="Roboto" w:eastAsia="Times New Roman" w:hAnsi="Roboto"/>
        </w:rPr>
        <w:t xml:space="preserve"> </w:t>
      </w:r>
      <w:r w:rsidR="00653B15">
        <w:rPr>
          <w:rFonts w:ascii="Roboto" w:eastAsia="Times New Roman" w:hAnsi="Roboto"/>
        </w:rPr>
        <w:br/>
      </w:r>
    </w:p>
    <w:p w14:paraId="1313425F" w14:textId="711362A2" w:rsidR="00556E96" w:rsidRPr="00653B15" w:rsidRDefault="003B7583" w:rsidP="00653B15">
      <w:pPr>
        <w:pStyle w:val="ListParagraph"/>
        <w:numPr>
          <w:ilvl w:val="0"/>
          <w:numId w:val="40"/>
        </w:numPr>
        <w:rPr>
          <w:rFonts w:ascii="Roboto" w:eastAsia="Times New Roman" w:hAnsi="Roboto"/>
        </w:rPr>
      </w:pPr>
      <w:r w:rsidRPr="00653B15">
        <w:rPr>
          <w:rFonts w:ascii="Roboto" w:eastAsia="Times New Roman" w:hAnsi="Roboto"/>
          <w:b/>
          <w:bCs/>
        </w:rPr>
        <w:t>Artificial Intelligence and Technology:</w:t>
      </w:r>
      <w:r w:rsidRPr="00653B15">
        <w:rPr>
          <w:rFonts w:ascii="Roboto" w:eastAsia="Times New Roman" w:hAnsi="Roboto"/>
        </w:rPr>
        <w:t xml:space="preserve"> </w:t>
      </w:r>
      <w:r w:rsidR="00653B15" w:rsidRPr="00653B15">
        <w:rPr>
          <w:rFonts w:ascii="Roboto" w:eastAsia="Times New Roman" w:hAnsi="Roboto"/>
        </w:rPr>
        <w:t xml:space="preserve">We believe that </w:t>
      </w:r>
      <w:r w:rsidRPr="00653B15">
        <w:rPr>
          <w:rFonts w:ascii="Roboto" w:eastAsia="Times New Roman" w:hAnsi="Roboto"/>
        </w:rPr>
        <w:t xml:space="preserve">emerging tools like ambient documentation and clinical decision support AI </w:t>
      </w:r>
      <w:r w:rsidR="00653B15" w:rsidRPr="00653B15">
        <w:rPr>
          <w:rFonts w:ascii="Roboto" w:eastAsia="Times New Roman" w:hAnsi="Roboto"/>
        </w:rPr>
        <w:t xml:space="preserve">are important developments that require thoughtful approaches.  </w:t>
      </w:r>
      <w:r w:rsidR="00556E96" w:rsidRPr="00653B15">
        <w:rPr>
          <w:rFonts w:ascii="Arial" w:eastAsia="Times New Roman" w:hAnsi="Arial" w:cs="Arial"/>
        </w:rPr>
        <w:t>We support the AMA’s Shared Roadmap</w:t>
      </w:r>
      <w:r w:rsidR="00556E96" w:rsidRPr="003904F9">
        <w:rPr>
          <w:rStyle w:val="FootnoteReference"/>
          <w:rFonts w:ascii="Arial" w:eastAsia="Times New Roman" w:hAnsi="Arial" w:cs="Arial"/>
        </w:rPr>
        <w:footnoteReference w:id="11"/>
      </w:r>
      <w:r w:rsidR="00556E96" w:rsidRPr="00653B15">
        <w:rPr>
          <w:rFonts w:ascii="Arial" w:eastAsia="Times New Roman" w:hAnsi="Arial" w:cs="Arial"/>
        </w:rPr>
        <w:t xml:space="preserve"> that emphasizes </w:t>
      </w:r>
      <w:r w:rsidR="00556E96" w:rsidRPr="00653B15">
        <w:rPr>
          <w:rFonts w:ascii="Arial" w:hAnsi="Arial" w:cs="Arial"/>
        </w:rPr>
        <w:t>creating a predictable regulatory environment for technology development that supports safe, evidence-based, physician-led care, and invest in the infrastructure required for trusted, interoperable health information exchange.</w:t>
      </w:r>
      <w:r w:rsidR="00653B15">
        <w:rPr>
          <w:rFonts w:ascii="Arial" w:hAnsi="Arial" w:cs="Arial"/>
        </w:rPr>
        <w:br/>
      </w:r>
      <w:r w:rsidR="00653B15">
        <w:rPr>
          <w:rFonts w:ascii="Arial" w:hAnsi="Arial" w:cs="Arial"/>
        </w:rPr>
        <w:br/>
      </w:r>
      <w:r w:rsidR="00556E96" w:rsidRPr="00653B15">
        <w:rPr>
          <w:rFonts w:ascii="Arial" w:eastAsia="Times New Roman" w:hAnsi="Arial" w:cs="Arial"/>
        </w:rPr>
        <w:t xml:space="preserve">The introduction of outcomes-based payments in the ACCESS model is housed in a CMMI demonstration allowing a test of demonstration is an interesting way to tie payment to value and we think that the data that derive from its evaluation could be helpful. Further, CMS makes modifications in remote patient monitoring coding to guard against technology applications from being siloed and disconnected from the physician responsible for the patient’s care.  This said, the RFI mentions the potential of outcome-based payments for technology in primary care. We feel, however, that rather than paying for technology on a piecemeal basis, the better course is to sufficiently pay primary care with an element of prospective payment so that practices can use the resources that work best for them and their patients. </w:t>
      </w:r>
      <w:r w:rsidR="00556E96" w:rsidRPr="00653B15">
        <w:rPr>
          <w:rFonts w:ascii="Arial" w:eastAsia="Times New Roman" w:hAnsi="Arial" w:cs="Arial"/>
        </w:rPr>
        <w:br/>
      </w:r>
    </w:p>
    <w:p w14:paraId="1340E304" w14:textId="0729748D" w:rsidR="00340FC6" w:rsidRPr="00A5476B" w:rsidRDefault="00A5476B" w:rsidP="00024B46">
      <w:pPr>
        <w:pStyle w:val="ListParagraph"/>
        <w:numPr>
          <w:ilvl w:val="0"/>
          <w:numId w:val="40"/>
        </w:numPr>
        <w:spacing w:after="160"/>
        <w:rPr>
          <w:rFonts w:ascii="Arial" w:eastAsia="Times New Roman" w:hAnsi="Arial" w:cs="Arial"/>
        </w:rPr>
      </w:pPr>
      <w:r w:rsidRPr="00A5476B">
        <w:rPr>
          <w:rFonts w:ascii="Roboto" w:eastAsia="Times New Roman" w:hAnsi="Roboto"/>
          <w:b/>
          <w:bCs/>
        </w:rPr>
        <w:t>Specialty Engagement</w:t>
      </w:r>
      <w:r w:rsidR="003B7583" w:rsidRPr="00A5476B">
        <w:rPr>
          <w:rFonts w:ascii="Roboto" w:eastAsia="Times New Roman" w:hAnsi="Roboto"/>
          <w:b/>
          <w:bCs/>
        </w:rPr>
        <w:t>:</w:t>
      </w:r>
      <w:r w:rsidR="003B7583" w:rsidRPr="00A5476B">
        <w:rPr>
          <w:rFonts w:ascii="Roboto" w:eastAsia="Times New Roman" w:hAnsi="Roboto"/>
        </w:rPr>
        <w:t xml:space="preserve"> </w:t>
      </w:r>
      <w:r w:rsidRPr="00A5476B">
        <w:rPr>
          <w:rFonts w:ascii="Arial" w:eastAsia="Times New Roman" w:hAnsi="Arial" w:cs="Arial"/>
          <w:color w:val="333333"/>
        </w:rPr>
        <w:t xml:space="preserve">CMS notes in the RFI that specialist engagement in shared savings program has been difficult to establish and grow. Until specialist income is dependent in </w:t>
      </w:r>
      <w:r w:rsidR="00653B15">
        <w:rPr>
          <w:rFonts w:ascii="Arial" w:eastAsia="Times New Roman" w:hAnsi="Arial" w:cs="Arial"/>
          <w:color w:val="333333"/>
        </w:rPr>
        <w:t xml:space="preserve">a meaningful way on </w:t>
      </w:r>
      <w:r w:rsidRPr="00A5476B">
        <w:rPr>
          <w:rFonts w:ascii="Arial" w:eastAsia="Times New Roman" w:hAnsi="Arial" w:cs="Arial"/>
          <w:color w:val="333333"/>
        </w:rPr>
        <w:t xml:space="preserve">their ability to work across system partners, this is likely to remain the case.  CMS has begun to use mandatory models such as the Ambulatory Survey Model to engage specialists and this may be the necessary path for furthering their engagement.  The </w:t>
      </w:r>
      <w:r w:rsidRPr="00A5476B">
        <w:rPr>
          <w:rFonts w:ascii="Arial" w:hAnsi="Arial" w:cs="Arial"/>
        </w:rPr>
        <w:t>CARA arrangements in the LEAD ACO also have great potential tool to better engage specialists.</w:t>
      </w:r>
      <w:r w:rsidR="00653B15">
        <w:rPr>
          <w:rFonts w:ascii="Arial" w:hAnsi="Arial" w:cs="Arial"/>
        </w:rPr>
        <w:t xml:space="preserve"> Payment structures and financial incentives remain some of the most powerful ways to encourage interprofessional cooperation. </w:t>
      </w:r>
      <w:r w:rsidRPr="00A5476B">
        <w:rPr>
          <w:rFonts w:ascii="Arial" w:hAnsi="Arial" w:cs="Arial"/>
        </w:rPr>
        <w:t xml:space="preserve">  </w:t>
      </w:r>
      <w:r w:rsidRPr="00A5476B">
        <w:rPr>
          <w:rFonts w:ascii="Arial" w:eastAsia="Times New Roman" w:hAnsi="Arial" w:cs="Arial"/>
          <w:color w:val="333333"/>
        </w:rPr>
        <w:br/>
      </w:r>
    </w:p>
    <w:p w14:paraId="042D5C9D" w14:textId="50098DAD" w:rsidR="003B7583" w:rsidRDefault="00C405F0" w:rsidP="00807AF9">
      <w:pPr>
        <w:spacing w:after="160"/>
        <w:rPr>
          <w:rFonts w:ascii="Arial" w:eastAsia="Times New Roman" w:hAnsi="Arial" w:cs="Arial"/>
        </w:rPr>
      </w:pPr>
      <w:r>
        <w:rPr>
          <w:rFonts w:ascii="Arial" w:eastAsia="Times New Roman" w:hAnsi="Arial" w:cs="Arial"/>
        </w:rPr>
        <w:t>We also urge CMS to address some very important considerations that are not specifically outlined in the RFI:</w:t>
      </w:r>
    </w:p>
    <w:p w14:paraId="7C86A159" w14:textId="5330F105" w:rsidR="00556E96" w:rsidRPr="00A5476B" w:rsidRDefault="00206DDB" w:rsidP="00A5476B">
      <w:pPr>
        <w:pStyle w:val="ListParagraph"/>
        <w:numPr>
          <w:ilvl w:val="0"/>
          <w:numId w:val="39"/>
        </w:numPr>
        <w:spacing w:after="160"/>
        <w:rPr>
          <w:rFonts w:ascii="Arial" w:eastAsia="Times New Roman" w:hAnsi="Arial" w:cs="Arial"/>
        </w:rPr>
      </w:pPr>
      <w:r w:rsidRPr="00206DDB">
        <w:rPr>
          <w:rFonts w:ascii="Arial" w:hAnsi="Arial" w:cs="Arial"/>
          <w:b/>
          <w:bCs/>
          <w:color w:val="211D1E"/>
        </w:rPr>
        <w:t>Ensuring</w:t>
      </w:r>
      <w:r w:rsidR="00653B15">
        <w:rPr>
          <w:rFonts w:ascii="Arial" w:hAnsi="Arial" w:cs="Arial"/>
          <w:b/>
          <w:bCs/>
          <w:color w:val="211D1E"/>
        </w:rPr>
        <w:t xml:space="preserve"> Receipt of Resourcing at the </w:t>
      </w:r>
      <w:r w:rsidRPr="00206DDB">
        <w:rPr>
          <w:rFonts w:ascii="Arial" w:hAnsi="Arial" w:cs="Arial"/>
          <w:b/>
          <w:bCs/>
          <w:color w:val="211D1E"/>
        </w:rPr>
        <w:t>Practice</w:t>
      </w:r>
      <w:r w:rsidR="00653B15">
        <w:rPr>
          <w:rFonts w:ascii="Arial" w:hAnsi="Arial" w:cs="Arial"/>
          <w:b/>
          <w:bCs/>
          <w:color w:val="211D1E"/>
        </w:rPr>
        <w:t xml:space="preserve"> Level:</w:t>
      </w:r>
      <w:r>
        <w:rPr>
          <w:rFonts w:ascii="Arial" w:hAnsi="Arial" w:cs="Arial"/>
          <w:color w:val="211D1E"/>
        </w:rPr>
        <w:t xml:space="preserve"> </w:t>
      </w:r>
      <w:r w:rsidR="00D22E3B">
        <w:rPr>
          <w:rFonts w:ascii="Arial" w:hAnsi="Arial" w:cs="Arial"/>
          <w:color w:val="211D1E"/>
        </w:rPr>
        <w:t xml:space="preserve"> It is important that primary care practices that are part of a health care system or parent organization receive the resources that they need to serve patients. G</w:t>
      </w:r>
      <w:r w:rsidR="00BF40F3" w:rsidRPr="00A5476B">
        <w:rPr>
          <w:rFonts w:ascii="Arial" w:hAnsi="Arial" w:cs="Arial"/>
          <w:color w:val="211D1E"/>
        </w:rPr>
        <w:t>uidelines</w:t>
      </w:r>
      <w:r w:rsidR="00D22E3B">
        <w:rPr>
          <w:rFonts w:ascii="Arial" w:hAnsi="Arial" w:cs="Arial"/>
          <w:color w:val="211D1E"/>
        </w:rPr>
        <w:t xml:space="preserve"> should be established that help to </w:t>
      </w:r>
      <w:r w:rsidR="00BF40F3" w:rsidRPr="00A5476B">
        <w:rPr>
          <w:rFonts w:ascii="Arial" w:hAnsi="Arial" w:cs="Arial"/>
          <w:color w:val="211D1E"/>
        </w:rPr>
        <w:t xml:space="preserve">ensure </w:t>
      </w:r>
      <w:r w:rsidR="00D22E3B">
        <w:rPr>
          <w:rFonts w:ascii="Arial" w:hAnsi="Arial" w:cs="Arial"/>
          <w:color w:val="211D1E"/>
        </w:rPr>
        <w:t xml:space="preserve">that </w:t>
      </w:r>
      <w:r w:rsidR="00BF40F3" w:rsidRPr="00A5476B">
        <w:rPr>
          <w:rFonts w:ascii="Arial" w:hAnsi="Arial" w:cs="Arial"/>
          <w:color w:val="211D1E"/>
        </w:rPr>
        <w:t xml:space="preserve">new investment reaches primary care, rather than being diverted elsewhere. </w:t>
      </w:r>
      <w:r w:rsidR="00556E96" w:rsidRPr="00A5476B">
        <w:rPr>
          <w:rFonts w:ascii="Arial" w:eastAsia="Times New Roman" w:hAnsi="Arial" w:cs="Arial"/>
        </w:rPr>
        <w:t>CMS should leverage public reporting to ensure investments reach the practices themselves.</w:t>
      </w:r>
      <w:r w:rsidR="00653B15">
        <w:rPr>
          <w:rFonts w:ascii="Arial" w:eastAsia="Times New Roman" w:hAnsi="Arial" w:cs="Arial"/>
        </w:rPr>
        <w:br/>
      </w:r>
    </w:p>
    <w:p w14:paraId="65A9B42D" w14:textId="4206EA9B" w:rsidR="00EB20D6" w:rsidRDefault="00206DDB" w:rsidP="006D775D">
      <w:pPr>
        <w:pStyle w:val="ListParagraph"/>
        <w:numPr>
          <w:ilvl w:val="0"/>
          <w:numId w:val="26"/>
        </w:numPr>
        <w:rPr>
          <w:rFonts w:ascii="Arial" w:hAnsi="Arial" w:cs="Arial"/>
        </w:rPr>
      </w:pPr>
      <w:r w:rsidRPr="003904F9">
        <w:rPr>
          <w:rFonts w:ascii="Arial" w:eastAsia="Times New Roman" w:hAnsi="Arial" w:cs="Arial"/>
          <w:b/>
          <w:bCs/>
        </w:rPr>
        <w:t>Incorporat</w:t>
      </w:r>
      <w:r w:rsidR="00D22E3B">
        <w:rPr>
          <w:rFonts w:ascii="Arial" w:eastAsia="Times New Roman" w:hAnsi="Arial" w:cs="Arial"/>
          <w:b/>
          <w:bCs/>
        </w:rPr>
        <w:t>ing</w:t>
      </w:r>
      <w:r w:rsidRPr="003904F9">
        <w:rPr>
          <w:rFonts w:ascii="Arial" w:eastAsia="Times New Roman" w:hAnsi="Arial" w:cs="Arial"/>
          <w:b/>
          <w:bCs/>
        </w:rPr>
        <w:t xml:space="preserve"> Additional Site Neutral Payment Provisions into the Payment Structure.</w:t>
      </w:r>
      <w:r w:rsidR="00D22E3B">
        <w:rPr>
          <w:rFonts w:ascii="Arial" w:eastAsia="Times New Roman" w:hAnsi="Arial" w:cs="Arial"/>
          <w:b/>
          <w:bCs/>
        </w:rPr>
        <w:t xml:space="preserve"> </w:t>
      </w:r>
      <w:r w:rsidR="00D22E3B">
        <w:rPr>
          <w:rFonts w:ascii="Arial" w:eastAsia="Times New Roman" w:hAnsi="Arial" w:cs="Arial"/>
        </w:rPr>
        <w:t xml:space="preserve">It is harder and harder for independent practice to remain viable. </w:t>
      </w:r>
      <w:r w:rsidRPr="003904F9">
        <w:rPr>
          <w:rFonts w:ascii="Arial" w:eastAsia="Times New Roman" w:hAnsi="Arial" w:cs="Arial"/>
        </w:rPr>
        <w:t>According to a recent Journal of the American Medical Association study, the share of PCPs affiliated with hospitals almost doubled from 25.2% in 2009 to 47.9% in 2022.</w:t>
      </w:r>
      <w:r w:rsidR="00D22E3B">
        <w:rPr>
          <w:rFonts w:ascii="Arial" w:eastAsia="Times New Roman" w:hAnsi="Arial" w:cs="Arial"/>
        </w:rPr>
        <w:t xml:space="preserve"> </w:t>
      </w:r>
      <w:r w:rsidR="00A6271F">
        <w:rPr>
          <w:rFonts w:ascii="Arial" w:eastAsia="Times New Roman" w:hAnsi="Arial" w:cs="Arial"/>
        </w:rPr>
        <w:t xml:space="preserve">In addition, </w:t>
      </w:r>
      <w:r w:rsidR="00A6271F" w:rsidRPr="003904F9">
        <w:rPr>
          <w:rFonts w:ascii="Arial" w:hAnsi="Arial" w:cs="Arial"/>
        </w:rPr>
        <w:t xml:space="preserve">MSSP ACOs with a higher percentage of primary care </w:t>
      </w:r>
      <w:r w:rsidR="0098446C" w:rsidRPr="003904F9">
        <w:rPr>
          <w:rFonts w:ascii="Arial" w:hAnsi="Arial" w:cs="Arial"/>
        </w:rPr>
        <w:t>physicians</w:t>
      </w:r>
      <w:r w:rsidR="00A6271F" w:rsidRPr="003904F9">
        <w:rPr>
          <w:rFonts w:ascii="Arial" w:hAnsi="Arial" w:cs="Arial"/>
        </w:rPr>
        <w:t xml:space="preserve"> produce greater savings than other ACOs</w:t>
      </w:r>
      <w:r w:rsidR="00A6271F" w:rsidRPr="003904F9">
        <w:rPr>
          <w:rStyle w:val="FootnoteReference"/>
          <w:rFonts w:ascii="Arial" w:eastAsia="Times New Roman" w:hAnsi="Arial" w:cs="Arial"/>
        </w:rPr>
        <w:footnoteReference w:id="12"/>
      </w:r>
      <w:r w:rsidR="00A6271F" w:rsidRPr="003904F9">
        <w:rPr>
          <w:rFonts w:ascii="Arial" w:hAnsi="Arial" w:cs="Arial"/>
        </w:rPr>
        <w:t xml:space="preserve">. Despite this success, </w:t>
      </w:r>
      <w:r w:rsidR="00A6271F">
        <w:rPr>
          <w:rFonts w:ascii="Arial" w:hAnsi="Arial" w:cs="Arial"/>
        </w:rPr>
        <w:t xml:space="preserve">however, </w:t>
      </w:r>
      <w:r w:rsidR="00A6271F" w:rsidRPr="003904F9">
        <w:rPr>
          <w:rFonts w:ascii="Arial" w:hAnsi="Arial" w:cs="Arial"/>
        </w:rPr>
        <w:t>the share of MSSP ACOs run by primary care providers has failed to grow</w:t>
      </w:r>
      <w:bookmarkStart w:id="0" w:name="_Hlk206075773"/>
      <w:r w:rsidR="00A6271F" w:rsidRPr="003904F9">
        <w:rPr>
          <w:rFonts w:ascii="Arial" w:hAnsi="Arial" w:cs="Arial"/>
          <w:vertAlign w:val="superscript"/>
        </w:rPr>
        <w:footnoteReference w:id="13"/>
      </w:r>
      <w:bookmarkEnd w:id="0"/>
      <w:r w:rsidR="00A6271F" w:rsidRPr="003904F9">
        <w:rPr>
          <w:rFonts w:ascii="Arial" w:hAnsi="Arial" w:cs="Arial"/>
        </w:rPr>
        <w:t xml:space="preserve">. </w:t>
      </w:r>
      <w:r w:rsidR="00D22E3B" w:rsidRPr="00A6271F">
        <w:rPr>
          <w:rFonts w:ascii="Arial" w:eastAsia="Times New Roman" w:hAnsi="Arial" w:cs="Arial"/>
        </w:rPr>
        <w:t>CMS has begun to make inroads in site neutral policy and we encourage additional movement so that providers can focus on serving their patients on a level playing field without gamesmanship to optimize reimbursement.</w:t>
      </w:r>
      <w:r w:rsidR="00653B15" w:rsidRPr="00A6271F">
        <w:rPr>
          <w:rFonts w:ascii="Arial" w:eastAsia="Times New Roman" w:hAnsi="Arial" w:cs="Arial"/>
        </w:rPr>
        <w:br/>
      </w:r>
    </w:p>
    <w:p w14:paraId="696C15E2" w14:textId="77777777" w:rsidR="006D775D" w:rsidRPr="006D775D" w:rsidRDefault="006D775D" w:rsidP="006D775D">
      <w:pPr>
        <w:pStyle w:val="ListParagraph"/>
        <w:rPr>
          <w:rFonts w:ascii="Arial" w:hAnsi="Arial" w:cs="Arial"/>
        </w:rPr>
      </w:pPr>
    </w:p>
    <w:p w14:paraId="562E0288" w14:textId="2C7431F1" w:rsidR="003A1294" w:rsidRDefault="00B7629A" w:rsidP="00807AF9">
      <w:pPr>
        <w:ind w:left="-90"/>
        <w:contextualSpacing/>
        <w:rPr>
          <w:rFonts w:ascii="Arial" w:eastAsia="Times New Roman" w:hAnsi="Arial" w:cs="Arial"/>
        </w:rPr>
      </w:pPr>
      <w:r w:rsidRPr="003904F9">
        <w:rPr>
          <w:rFonts w:ascii="Arial" w:eastAsia="Times New Roman" w:hAnsi="Arial" w:cs="Arial"/>
        </w:rPr>
        <w:t xml:space="preserve">We </w:t>
      </w:r>
      <w:r w:rsidR="004050F5" w:rsidRPr="003904F9">
        <w:rPr>
          <w:rFonts w:ascii="Arial" w:eastAsia="Times New Roman" w:hAnsi="Arial" w:cs="Arial"/>
        </w:rPr>
        <w:t>are thankful for the opportunity to provide comments and recommendations on the 202</w:t>
      </w:r>
      <w:r w:rsidR="00FB01D9" w:rsidRPr="003904F9">
        <w:rPr>
          <w:rFonts w:ascii="Arial" w:eastAsia="Times New Roman" w:hAnsi="Arial" w:cs="Arial"/>
        </w:rPr>
        <w:t>7</w:t>
      </w:r>
      <w:r w:rsidR="0040186D" w:rsidRPr="003904F9">
        <w:rPr>
          <w:rFonts w:ascii="Arial" w:eastAsia="Times New Roman" w:hAnsi="Arial" w:cs="Arial"/>
        </w:rPr>
        <w:t xml:space="preserve"> </w:t>
      </w:r>
      <w:r w:rsidR="004050F5" w:rsidRPr="003904F9">
        <w:rPr>
          <w:rFonts w:ascii="Arial" w:eastAsia="Times New Roman" w:hAnsi="Arial" w:cs="Arial"/>
        </w:rPr>
        <w:t xml:space="preserve">PFS and </w:t>
      </w:r>
      <w:r w:rsidRPr="003904F9">
        <w:rPr>
          <w:rFonts w:ascii="Arial" w:eastAsia="Times New Roman" w:hAnsi="Arial" w:cs="Arial"/>
        </w:rPr>
        <w:t xml:space="preserve">urge your careful consideration of </w:t>
      </w:r>
      <w:r w:rsidR="004050F5" w:rsidRPr="003904F9">
        <w:rPr>
          <w:rFonts w:ascii="Arial" w:eastAsia="Times New Roman" w:hAnsi="Arial" w:cs="Arial"/>
        </w:rPr>
        <w:t>our recommendations</w:t>
      </w:r>
      <w:r w:rsidR="005F5A5C" w:rsidRPr="003904F9">
        <w:rPr>
          <w:rFonts w:ascii="Arial" w:eastAsia="Times New Roman" w:hAnsi="Arial" w:cs="Arial"/>
        </w:rPr>
        <w:t xml:space="preserve">. </w:t>
      </w:r>
      <w:r w:rsidR="00E104E2" w:rsidRPr="003904F9">
        <w:rPr>
          <w:rFonts w:ascii="Arial" w:eastAsia="Times New Roman" w:hAnsi="Arial" w:cs="Arial"/>
        </w:rPr>
        <w:t>We are happy to discuss any of the concerns identified above further</w:t>
      </w:r>
      <w:r w:rsidR="005F5A5C" w:rsidRPr="003904F9">
        <w:rPr>
          <w:rFonts w:ascii="Arial" w:eastAsia="Times New Roman" w:hAnsi="Arial" w:cs="Arial"/>
        </w:rPr>
        <w:t xml:space="preserve">. </w:t>
      </w:r>
      <w:r w:rsidR="00793203" w:rsidRPr="003904F9">
        <w:rPr>
          <w:rFonts w:ascii="Arial" w:eastAsia="Times New Roman" w:hAnsi="Arial" w:cs="Arial"/>
        </w:rPr>
        <w:t xml:space="preserve">Questions regarding these comments can be directed to Diane Marriott at </w:t>
      </w:r>
      <w:hyperlink r:id="rId11" w:history="1">
        <w:r w:rsidR="00180F3B" w:rsidRPr="003904F9">
          <w:rPr>
            <w:rStyle w:val="Hyperlink"/>
            <w:rFonts w:ascii="Arial" w:eastAsia="Times New Roman" w:hAnsi="Arial" w:cs="Arial"/>
          </w:rPr>
          <w:t>dbechel@med.umich.edu</w:t>
        </w:r>
      </w:hyperlink>
      <w:r w:rsidR="005F5A5C" w:rsidRPr="003904F9">
        <w:rPr>
          <w:rFonts w:ascii="Arial" w:eastAsia="Times New Roman" w:hAnsi="Arial" w:cs="Arial"/>
        </w:rPr>
        <w:t xml:space="preserve">. </w:t>
      </w:r>
      <w:r w:rsidR="00BA167F">
        <w:rPr>
          <w:rFonts w:ascii="Arial" w:eastAsia="Times New Roman" w:hAnsi="Arial" w:cs="Arial"/>
        </w:rPr>
        <w:br/>
      </w:r>
    </w:p>
    <w:p w14:paraId="18B9D23F" w14:textId="77777777" w:rsidR="00BA167F" w:rsidRDefault="00BA167F" w:rsidP="00807AF9">
      <w:pPr>
        <w:ind w:left="-90"/>
        <w:contextualSpacing/>
        <w:rPr>
          <w:rFonts w:ascii="Arial" w:eastAsia="Times New Roman" w:hAnsi="Arial" w:cs="Arial"/>
        </w:rPr>
      </w:pPr>
    </w:p>
    <w:p w14:paraId="5A492FED" w14:textId="0582525C" w:rsidR="00BA167F" w:rsidRDefault="00BA167F" w:rsidP="00807AF9">
      <w:pPr>
        <w:ind w:left="-90"/>
        <w:contextualSpacing/>
        <w:rPr>
          <w:rFonts w:ascii="Arial" w:eastAsia="Times New Roman" w:hAnsi="Arial" w:cs="Arial"/>
        </w:rPr>
      </w:pPr>
      <w:r>
        <w:rPr>
          <w:rFonts w:ascii="Arial" w:eastAsia="Times New Roman" w:hAnsi="Arial" w:cs="Arial"/>
        </w:rPr>
        <w:t>Sincerely,</w:t>
      </w:r>
    </w:p>
    <w:p w14:paraId="665B5CE0" w14:textId="77777777" w:rsidR="005C3918" w:rsidRDefault="005C3918" w:rsidP="00807AF9">
      <w:pPr>
        <w:ind w:left="-90"/>
        <w:contextualSpacing/>
        <w:rPr>
          <w:rFonts w:ascii="Arial" w:eastAsia="Times New Roman" w:hAnsi="Arial" w:cs="Arial"/>
        </w:rPr>
      </w:pPr>
    </w:p>
    <w:p w14:paraId="7A89E5E6" w14:textId="77777777" w:rsidR="005C3918" w:rsidRDefault="005C3918" w:rsidP="00807AF9">
      <w:pPr>
        <w:ind w:left="-90"/>
        <w:contextualSpacing/>
        <w:rPr>
          <w:rFonts w:ascii="Arial" w:eastAsia="Times New Roman" w:hAnsi="Arial" w:cs="Arial"/>
        </w:rPr>
      </w:pPr>
    </w:p>
    <w:p w14:paraId="653739EE" w14:textId="77777777" w:rsidR="005C3918" w:rsidRDefault="005C3918" w:rsidP="00807AF9">
      <w:pPr>
        <w:ind w:left="-90"/>
        <w:contextualSpacing/>
        <w:rPr>
          <w:rFonts w:ascii="Arial" w:eastAsia="Times New Roman" w:hAnsi="Arial" w:cs="Arial"/>
        </w:rPr>
      </w:pPr>
    </w:p>
    <w:p w14:paraId="7473F2DF" w14:textId="77777777" w:rsidR="005C3918" w:rsidRPr="003904F9" w:rsidRDefault="005C3918" w:rsidP="00807AF9">
      <w:pPr>
        <w:ind w:left="-90"/>
        <w:contextualSpacing/>
        <w:rPr>
          <w:rFonts w:ascii="Arial" w:eastAsia="Times New Roman" w:hAnsi="Arial" w:cs="Arial"/>
        </w:rPr>
      </w:pPr>
    </w:p>
    <w:sectPr w:rsidR="005C3918" w:rsidRPr="003904F9" w:rsidSect="0005060E">
      <w:headerReference w:type="default" r:id="rId12"/>
      <w:footerReference w:type="default" r:id="rId13"/>
      <w:headerReference w:type="first" r:id="rId14"/>
      <w:pgSz w:w="12240" w:h="15840"/>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4976" w14:textId="77777777" w:rsidR="0090076A" w:rsidRDefault="0090076A" w:rsidP="006D4459">
      <w:r>
        <w:separator/>
      </w:r>
    </w:p>
  </w:endnote>
  <w:endnote w:type="continuationSeparator" w:id="0">
    <w:p w14:paraId="03BC513A" w14:textId="77777777" w:rsidR="0090076A" w:rsidRDefault="0090076A" w:rsidP="006D4459">
      <w:r>
        <w:continuationSeparator/>
      </w:r>
    </w:p>
  </w:endnote>
  <w:endnote w:type="continuationNotice" w:id="1">
    <w:p w14:paraId="05A9AB0D" w14:textId="77777777" w:rsidR="0090076A" w:rsidRDefault="00900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ark OT">
    <w:altName w:val="Calibri"/>
    <w:panose1 w:val="00000000000000000000"/>
    <w:charset w:val="00"/>
    <w:family w:val="swiss"/>
    <w:notTrueType/>
    <w:pitch w:val="default"/>
    <w:sig w:usb0="00000003" w:usb1="00000000" w:usb2="00000000" w:usb3="00000000" w:csb0="00000001" w:csb1="00000000"/>
  </w:font>
  <w:font w:name="BookmanUnicLight2">
    <w:altName w:val="Cambria"/>
    <w:panose1 w:val="00000000000000000000"/>
    <w:charset w:val="00"/>
    <w:family w:val="roman"/>
    <w:notTrueType/>
    <w:pitch w:val="default"/>
    <w:sig w:usb0="00000003" w:usb1="00000000" w:usb2="00000000" w:usb3="00000000" w:csb0="00000001" w:csb1="00000000"/>
  </w:font>
  <w:font w:name="BookmanUnicLight">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0749" w14:textId="1D8F6C11" w:rsidR="006D4459" w:rsidRPr="006D4459" w:rsidRDefault="00B57457" w:rsidP="006D4459">
    <w:pPr>
      <w:pStyle w:val="Footer"/>
    </w:pPr>
    <w:r>
      <w:rPr>
        <w:noProof/>
      </w:rPr>
      <mc:AlternateContent>
        <mc:Choice Requires="wps">
          <w:drawing>
            <wp:anchor distT="0" distB="0" distL="114300" distR="114300" simplePos="0" relativeHeight="251658244" behindDoc="0" locked="0" layoutInCell="1" allowOverlap="1" wp14:anchorId="1E1BC393" wp14:editId="24DC2311">
              <wp:simplePos x="0" y="0"/>
              <wp:positionH relativeFrom="column">
                <wp:posOffset>3977640</wp:posOffset>
              </wp:positionH>
              <wp:positionV relativeFrom="paragraph">
                <wp:posOffset>152400</wp:posOffset>
              </wp:positionV>
              <wp:extent cx="2446020" cy="3276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6020" cy="327660"/>
                      </a:xfrm>
                      <a:prstGeom prst="rect">
                        <a:avLst/>
                      </a:prstGeom>
                      <a:noFill/>
                      <a:ln w="6350">
                        <a:noFill/>
                      </a:ln>
                    </wps:spPr>
                    <wps:txbx>
                      <w:txbxContent>
                        <w:p w14:paraId="5B26E058" w14:textId="77777777" w:rsidR="00CC4C69" w:rsidRPr="0061305F" w:rsidRDefault="0061305F" w:rsidP="00CC4C69">
                          <w:pPr>
                            <w:rPr>
                              <w:b/>
                              <w:color w:val="FFFFFF" w:themeColor="background1"/>
                            </w:rPr>
                          </w:pPr>
                          <w:r w:rsidRPr="0061305F">
                            <w:rPr>
                              <w:b/>
                              <w:color w:val="FFFFFF" w:themeColor="background1"/>
                            </w:rPr>
                            <w:t>https://mimultipayerinitiatives.org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BC393" id="_x0000_t202" coordsize="21600,21600" o:spt="202" path="m,l,21600r21600,l21600,xe">
              <v:stroke joinstyle="miter"/>
              <v:path gradientshapeok="t" o:connecttype="rect"/>
            </v:shapetype>
            <v:shape id="Text Box 7" o:spid="_x0000_s1026" type="#_x0000_t202" style="position:absolute;margin-left:313.2pt;margin-top:12pt;width:192.6pt;height:25.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" filled="f" stroked="f" strokeweight=".5pt">
              <v:textbox>
                <w:txbxContent>
                  <w:p w14:paraId="5B26E058" w14:textId="77777777" w:rsidR="00CC4C69" w:rsidRPr="0061305F" w:rsidRDefault="0061305F" w:rsidP="00CC4C69">
                    <w:pPr>
                      <w:rPr>
                        <w:b/>
                        <w:color w:val="FFFFFF" w:themeColor="background1"/>
                      </w:rPr>
                    </w:pPr>
                    <w:r w:rsidRPr="0061305F">
                      <w:rPr>
                        <w:b/>
                        <w:color w:val="FFFFFF" w:themeColor="background1"/>
                      </w:rPr>
                      <w:t>https://mimultipayerinitiatives.org</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2244E112" wp14:editId="263551B3">
              <wp:simplePos x="0" y="0"/>
              <wp:positionH relativeFrom="column">
                <wp:posOffset>-647700</wp:posOffset>
              </wp:positionH>
              <wp:positionV relativeFrom="paragraph">
                <wp:posOffset>152400</wp:posOffset>
              </wp:positionV>
              <wp:extent cx="3200400" cy="32766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327660"/>
                      </a:xfrm>
                      <a:prstGeom prst="rect">
                        <a:avLst/>
                      </a:prstGeom>
                      <a:noFill/>
                      <a:ln w="6350">
                        <a:noFill/>
                      </a:ln>
                    </wps:spPr>
                    <wps:txbx>
                      <w:txbxContent>
                        <w:p w14:paraId="37F0C3F2" w14:textId="77777777" w:rsidR="004A6B1B" w:rsidRPr="005A37F0" w:rsidRDefault="004A6B1B">
                          <w:pPr>
                            <w:rPr>
                              <w:b/>
                              <w:color w:val="FF0000"/>
                            </w:rPr>
                          </w:pPr>
                          <w:r w:rsidRPr="004A6B1B">
                            <w:rPr>
                              <w:b/>
                              <w:color w:val="FFFFFF" w:themeColor="background1"/>
                            </w:rPr>
                            <w:t>MICHIGAN MULTIPAYER INITIATIVES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244E112" id="Text Box 6" o:spid="_x0000_s1027" type="#_x0000_t202" style="position:absolute;margin-left:-51pt;margin-top:12pt;width:252pt;height:25.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" filled="f" stroked="f" strokeweight=".5pt">
              <v:textbox>
                <w:txbxContent>
                  <w:p w14:paraId="37F0C3F2" w14:textId="77777777" w:rsidR="004A6B1B" w:rsidRPr="005A37F0" w:rsidRDefault="004A6B1B">
                    <w:pPr>
                      <w:rPr>
                        <w:b/>
                        <w:color w:val="FF0000"/>
                      </w:rPr>
                    </w:pPr>
                    <w:r w:rsidRPr="004A6B1B">
                      <w:rPr>
                        <w:b/>
                        <w:color w:val="FFFFFF" w:themeColor="background1"/>
                      </w:rPr>
                      <w:t>MICHIGAN MULTIPAYER INITIATIVES</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6D518B13" wp14:editId="24C064F8">
              <wp:simplePos x="0" y="0"/>
              <wp:positionH relativeFrom="page">
                <wp:align>left</wp:align>
              </wp:positionH>
              <wp:positionV relativeFrom="paragraph">
                <wp:posOffset>384175</wp:posOffset>
              </wp:positionV>
              <wp:extent cx="7757160" cy="152400"/>
              <wp:effectExtent l="0" t="0" r="1524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7160" cy="1524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5AD68522" id="Rectangle 5" o:spid="_x0000_s1026" style="position:absolute;margin-left:0;margin-top:30.25pt;width:610.8pt;height:1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" fillcolor="#ffc000" strokecolor="#ffc000" strokeweight="1pt">
              <v:path arrowok="t"/>
              <w10:wrap anchorx="page"/>
            </v:rect>
          </w:pict>
        </mc:Fallback>
      </mc:AlternateContent>
    </w:r>
    <w:r>
      <w:rPr>
        <w:noProof/>
      </w:rPr>
      <mc:AlternateContent>
        <mc:Choice Requires="wps">
          <w:drawing>
            <wp:anchor distT="0" distB="0" distL="114300" distR="114300" simplePos="0" relativeHeight="251658241" behindDoc="0" locked="0" layoutInCell="1" allowOverlap="1" wp14:anchorId="60D45995" wp14:editId="3BA830E2">
              <wp:simplePos x="0" y="0"/>
              <wp:positionH relativeFrom="page">
                <wp:align>right</wp:align>
              </wp:positionH>
              <wp:positionV relativeFrom="paragraph">
                <wp:posOffset>129540</wp:posOffset>
              </wp:positionV>
              <wp:extent cx="7901940" cy="327660"/>
              <wp:effectExtent l="0" t="0" r="22860"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01940" cy="32766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6FEB8D61" id="Rectangle 1" o:spid="_x0000_s1026" style="position:absolute;margin-left:571pt;margin-top:10.2pt;width:622.2pt;height:25.8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" fillcolor="#002060" strokecolor="#002060" strokeweight="1pt">
              <v:path arrowok="t"/>
              <w10:wrap anchorx="page"/>
            </v:rect>
          </w:pict>
        </mc:Fallback>
      </mc:AlternateContent>
    </w:r>
    <w:r w:rsidR="005A37F0">
      <w:rPr>
        <w:noProof/>
      </w:rPr>
      <w:drawing>
        <wp:inline distT="0" distB="0" distL="0" distR="0" wp14:anchorId="73B011FA" wp14:editId="488B7D89">
          <wp:extent cx="2408129" cy="266723"/>
          <wp:effectExtent l="0" t="0" r="0" b="0"/>
          <wp:docPr id="2106487376" name="Picture 2106487376">
            <a:extLst xmlns:a="http://schemas.openxmlformats.org/drawingml/2006/main">
              <a:ext uri="{FF2B5EF4-FFF2-40B4-BE49-F238E27FC236}">
                <a16:creationId xmlns:a16="http://schemas.microsoft.com/office/drawing/2014/main" id="{396CBA6E-5282-4B5E-B06A-9DD7AD5440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96CBA6E-5282-4B5E-B06A-9DD7AD5440C2}"/>
                      </a:ext>
                    </a:extLst>
                  </pic:cNvPr>
                  <pic:cNvPicPr>
                    <a:picLocks noChangeAspect="1"/>
                  </pic:cNvPicPr>
                </pic:nvPicPr>
                <pic:blipFill>
                  <a:blip r:embed="rId1"/>
                  <a:stretch>
                    <a:fillRect/>
                  </a:stretch>
                </pic:blipFill>
                <pic:spPr>
                  <a:xfrm>
                    <a:off x="0" y="0"/>
                    <a:ext cx="2408129" cy="2667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A893" w14:textId="77777777" w:rsidR="0090076A" w:rsidRDefault="0090076A" w:rsidP="006D4459">
      <w:r>
        <w:separator/>
      </w:r>
    </w:p>
  </w:footnote>
  <w:footnote w:type="continuationSeparator" w:id="0">
    <w:p w14:paraId="45657045" w14:textId="77777777" w:rsidR="0090076A" w:rsidRDefault="0090076A" w:rsidP="006D4459">
      <w:r>
        <w:continuationSeparator/>
      </w:r>
    </w:p>
  </w:footnote>
  <w:footnote w:type="continuationNotice" w:id="1">
    <w:p w14:paraId="54953001" w14:textId="77777777" w:rsidR="0090076A" w:rsidRDefault="0090076A"/>
  </w:footnote>
  <w:footnote w:id="2">
    <w:p w14:paraId="5162BFD2" w14:textId="7AB77E91" w:rsidR="0072158A" w:rsidRDefault="0072158A" w:rsidP="0072158A">
      <w:pPr>
        <w:pStyle w:val="EndnoteText"/>
      </w:pPr>
      <w:r>
        <w:rPr>
          <w:rStyle w:val="FootnoteReference"/>
        </w:rPr>
        <w:footnoteRef/>
      </w:r>
      <w:r>
        <w:t xml:space="preserve"> Evaluation of the </w:t>
      </w:r>
      <w:proofErr w:type="spellStart"/>
      <w:r>
        <w:t>Multipayer</w:t>
      </w:r>
      <w:proofErr w:type="spellEnd"/>
      <w:r>
        <w:t xml:space="preserve"> Advanced Primary Care Practice (MAPCP) Demonstration, Final Report, June 2017, CMS, Table 3-19 “Estimates of gross savings, MAPCP fees paid, and net savings vs. PCMH and non-PCMH comparison practices, p. 239.</w:t>
      </w:r>
    </w:p>
    <w:p w14:paraId="6567C372" w14:textId="5465CBFB" w:rsidR="0072158A" w:rsidRDefault="0072158A">
      <w:pPr>
        <w:pStyle w:val="FootnoteText"/>
      </w:pPr>
    </w:p>
  </w:footnote>
  <w:footnote w:id="3">
    <w:p w14:paraId="3534BF4D" w14:textId="77777777" w:rsidR="006F5D92" w:rsidRDefault="006F5D92" w:rsidP="006F5D92">
      <w:pPr>
        <w:pStyle w:val="FootnoteText"/>
      </w:pPr>
      <w:r>
        <w:rPr>
          <w:rStyle w:val="FootnoteReference"/>
        </w:rPr>
        <w:footnoteRef/>
      </w:r>
      <w:r>
        <w:t xml:space="preserve"> </w:t>
      </w:r>
      <w:hyperlink r:id="rId1" w:history="1">
        <w:r w:rsidRPr="008755F8">
          <w:rPr>
            <w:rStyle w:val="Hyperlink"/>
          </w:rPr>
          <w:t>https://www.rand.org/pubs/research_reports/RRA203-3.html</w:t>
        </w:r>
      </w:hyperlink>
    </w:p>
  </w:footnote>
  <w:footnote w:id="4">
    <w:p w14:paraId="439BCB02" w14:textId="77777777" w:rsidR="006F5D92" w:rsidRDefault="006F5D92" w:rsidP="006F5D92">
      <w:pPr>
        <w:pStyle w:val="FootnoteText"/>
      </w:pPr>
      <w:r>
        <w:rPr>
          <w:rStyle w:val="FootnoteReference"/>
        </w:rPr>
        <w:footnoteRef/>
      </w:r>
      <w:r>
        <w:t xml:space="preserve"> </w:t>
      </w:r>
      <w:hyperlink r:id="rId2" w:history="1">
        <w:r>
          <w:rPr>
            <w:rStyle w:val="Hyperlink"/>
            <w:color w:val="0000FF"/>
          </w:rPr>
          <w:t>How States’ All-Payer Claims Databases Can Help CMS More Accurately Value Services | Health Affairs</w:t>
        </w:r>
      </w:hyperlink>
      <w:r>
        <w:t xml:space="preserve"> </w:t>
      </w:r>
    </w:p>
  </w:footnote>
  <w:footnote w:id="5">
    <w:p w14:paraId="51FC7981" w14:textId="657FA3CD" w:rsidR="00ED36DE" w:rsidRDefault="00ED36DE" w:rsidP="00ED36DE">
      <w:pPr>
        <w:pStyle w:val="FootnoteText"/>
      </w:pPr>
      <w:r>
        <w:rPr>
          <w:rStyle w:val="FootnoteReference"/>
        </w:rPr>
        <w:footnoteRef/>
      </w:r>
      <w:r>
        <w:t xml:space="preserve"> </w:t>
      </w:r>
      <w:hyperlink r:id="rId3" w:history="1">
        <w:r w:rsidRPr="00BE1D8C">
          <w:rPr>
            <w:rStyle w:val="Hyperlink"/>
          </w:rPr>
          <w:t>https://pmc.ncbi.nlm.nih.gov/articles/PMC12921562/</w:t>
        </w:r>
      </w:hyperlink>
      <w:r w:rsidR="00E4423D">
        <w:t xml:space="preserve"> </w:t>
      </w:r>
    </w:p>
  </w:footnote>
  <w:footnote w:id="6">
    <w:p w14:paraId="49453B73" w14:textId="77777777" w:rsidR="003904F9" w:rsidRDefault="003904F9" w:rsidP="003904F9">
      <w:pPr>
        <w:pStyle w:val="FootnoteText"/>
      </w:pPr>
      <w:r>
        <w:rPr>
          <w:rStyle w:val="FootnoteReference"/>
        </w:rPr>
        <w:footnoteRef/>
      </w:r>
      <w:r>
        <w:t xml:space="preserve"> </w:t>
      </w:r>
      <w:r>
        <w:rPr>
          <w:rFonts w:ascii="BookmanUnicLight2" w:hAnsi="BookmanUnicLight2" w:cs="BookmanUnicLight2"/>
          <w:sz w:val="14"/>
          <w:szCs w:val="14"/>
        </w:rPr>
        <w:t xml:space="preserve">J Gen Intern Med </w:t>
      </w:r>
      <w:r>
        <w:rPr>
          <w:rFonts w:ascii="BookmanUnicLight" w:hAnsi="BookmanUnicLight" w:cs="BookmanUnicLight"/>
          <w:sz w:val="14"/>
          <w:szCs w:val="14"/>
        </w:rPr>
        <w:t xml:space="preserve">38(9):2200-1; </w:t>
      </w:r>
      <w:r>
        <w:rPr>
          <w:rFonts w:ascii="BookmanUnicLight2" w:hAnsi="BookmanUnicLight2" w:cs="BookmanUnicLight2"/>
          <w:sz w:val="14"/>
          <w:szCs w:val="14"/>
        </w:rPr>
        <w:t xml:space="preserve">DOI: 10.1007/s11606-023-08098-3; </w:t>
      </w:r>
    </w:p>
  </w:footnote>
  <w:footnote w:id="7">
    <w:p w14:paraId="4F81346A" w14:textId="6A2E8BFF" w:rsidR="008D6218" w:rsidRDefault="008D6218">
      <w:pPr>
        <w:pStyle w:val="FootnoteText"/>
      </w:pPr>
      <w:r>
        <w:rPr>
          <w:rStyle w:val="FootnoteReference"/>
        </w:rPr>
        <w:footnoteRef/>
      </w:r>
      <w:r>
        <w:t xml:space="preserve"> </w:t>
      </w:r>
      <w:hyperlink r:id="rId4" w:history="1">
        <w:r w:rsidR="00C9258B" w:rsidRPr="00250CB6">
          <w:rPr>
            <w:rStyle w:val="Hyperlink"/>
          </w:rPr>
          <w:t>https://mimultipyerinitiatives.wordpress.com/wp-content/uploads/2026/08/final-msms-report.pdf</w:t>
        </w:r>
      </w:hyperlink>
      <w:r>
        <w:t xml:space="preserve"> </w:t>
      </w:r>
    </w:p>
  </w:footnote>
  <w:footnote w:id="8">
    <w:p w14:paraId="2D01E7E7" w14:textId="5AC6C8CD" w:rsidR="00C9258B" w:rsidRDefault="00C9258B" w:rsidP="00C9258B">
      <w:pPr>
        <w:pStyle w:val="FootnoteText"/>
      </w:pPr>
      <w:r>
        <w:rPr>
          <w:rStyle w:val="FootnoteReference"/>
        </w:rPr>
        <w:footnoteRef/>
      </w:r>
      <w:r>
        <w:t xml:space="preserve"> </w:t>
      </w:r>
      <w:r w:rsidRPr="00C9258B">
        <w:t>Ann</w:t>
      </w:r>
      <w:r>
        <w:t>uls of</w:t>
      </w:r>
      <w:r w:rsidRPr="00C9258B">
        <w:t xml:space="preserve"> Fam</w:t>
      </w:r>
      <w:r>
        <w:t>ily</w:t>
      </w:r>
      <w:r w:rsidRPr="00C9258B">
        <w:t xml:space="preserve"> Med</w:t>
      </w:r>
      <w:r>
        <w:t>icine.</w:t>
      </w:r>
      <w:r w:rsidRPr="00C9258B">
        <w:t xml:space="preserve"> 2020 Sep;18(5):422–429. </w:t>
      </w:r>
      <w:proofErr w:type="spellStart"/>
      <w:r w:rsidRPr="00C9258B">
        <w:t>doi</w:t>
      </w:r>
      <w:proofErr w:type="spellEnd"/>
      <w:r w:rsidRPr="00C9258B">
        <w:t>: </w:t>
      </w:r>
      <w:hyperlink r:id="rId5" w:tgtFrame="_blank" w:history="1">
        <w:r w:rsidRPr="00C9258B">
          <w:rPr>
            <w:rStyle w:val="Hyperlink"/>
          </w:rPr>
          <w:t>10.1370/afm.2554</w:t>
        </w:r>
      </w:hyperlink>
    </w:p>
  </w:footnote>
  <w:footnote w:id="9">
    <w:p w14:paraId="5A3A105E" w14:textId="77777777" w:rsidR="006D775D" w:rsidRDefault="006D775D" w:rsidP="006D775D">
      <w:pPr>
        <w:pStyle w:val="FootnoteText"/>
      </w:pPr>
      <w:r>
        <w:rPr>
          <w:rStyle w:val="FootnoteReference"/>
        </w:rPr>
        <w:footnoteRef/>
      </w:r>
      <w:r>
        <w:t xml:space="preserve"> </w:t>
      </w:r>
      <w:hyperlink r:id="rId6" w:history="1">
        <w:r w:rsidRPr="00073280">
          <w:rPr>
            <w:rStyle w:val="Hyperlink"/>
          </w:rPr>
          <w:t>https://pmc.ncbi.nlm.nih.gov/articles/PMC12647383/</w:t>
        </w:r>
      </w:hyperlink>
      <w:r>
        <w:t xml:space="preserve"> </w:t>
      </w:r>
    </w:p>
  </w:footnote>
  <w:footnote w:id="10">
    <w:p w14:paraId="0092C35D" w14:textId="77777777" w:rsidR="006D775D" w:rsidRDefault="006D775D" w:rsidP="006D775D">
      <w:pPr>
        <w:pStyle w:val="FootnoteText"/>
      </w:pPr>
      <w:r>
        <w:rPr>
          <w:rStyle w:val="FootnoteReference"/>
        </w:rPr>
        <w:footnoteRef/>
      </w:r>
      <w:hyperlink r:id="rId7" w:history="1">
        <w:r w:rsidRPr="00073280">
          <w:rPr>
            <w:rStyle w:val="Hyperlink"/>
          </w:rPr>
          <w:t>https://qualityindicators.ahrq.gov/measures/pqi_resources</w:t>
        </w:r>
      </w:hyperlink>
      <w:r>
        <w:t xml:space="preserve"> </w:t>
      </w:r>
    </w:p>
  </w:footnote>
  <w:footnote w:id="11">
    <w:p w14:paraId="63A49CB3" w14:textId="77777777" w:rsidR="00556E96" w:rsidRDefault="00556E96" w:rsidP="00556E96">
      <w:pPr>
        <w:pStyle w:val="FootnoteText"/>
      </w:pPr>
      <w:r>
        <w:rPr>
          <w:rStyle w:val="FootnoteReference"/>
        </w:rPr>
        <w:footnoteRef/>
      </w:r>
      <w:r>
        <w:t xml:space="preserve"> </w:t>
      </w:r>
      <w:hyperlink r:id="rId8" w:history="1">
        <w:r w:rsidRPr="00B17651">
          <w:rPr>
            <w:color w:val="0000FF"/>
            <w:sz w:val="24"/>
            <w:szCs w:val="24"/>
            <w:u w:val="single"/>
          </w:rPr>
          <w:t>A Shared Roadmap for Defining the Physician's Role in the Digital and AI Era | AMA</w:t>
        </w:r>
      </w:hyperlink>
      <w:r>
        <w:rPr>
          <w:sz w:val="24"/>
          <w:szCs w:val="24"/>
        </w:rPr>
        <w:t xml:space="preserve"> </w:t>
      </w:r>
    </w:p>
  </w:footnote>
  <w:footnote w:id="12">
    <w:p w14:paraId="2B3D77B2" w14:textId="77777777" w:rsidR="00A6271F" w:rsidRDefault="00A6271F" w:rsidP="00A6271F">
      <w:pPr>
        <w:pStyle w:val="FootnoteText"/>
      </w:pPr>
      <w:r w:rsidRPr="00355E5B">
        <w:rPr>
          <w:rStyle w:val="FootnoteReference"/>
        </w:rPr>
        <w:footnoteRef/>
      </w:r>
      <w:r w:rsidRPr="00355E5B">
        <w:rPr>
          <w:vertAlign w:val="superscript"/>
        </w:rPr>
        <w:t>,4</w:t>
      </w:r>
      <w:r>
        <w:t xml:space="preserve"> Medicare Accountable Care Organizations:  Past Performance and Future Directions; Congressional Budget Office, April 2024</w:t>
      </w:r>
    </w:p>
  </w:footnote>
  <w:footnote w:id="13">
    <w:p w14:paraId="7025C2ED" w14:textId="77777777" w:rsidR="00A6271F" w:rsidRDefault="00A6271F" w:rsidP="00A6271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FA4F" w14:textId="337EFAB9" w:rsidR="00B02EEF" w:rsidRDefault="0090076A">
    <w:pPr>
      <w:pStyle w:val="Header"/>
      <w:jc w:val="right"/>
    </w:pPr>
    <w:sdt>
      <w:sdtPr>
        <w:id w:val="645476291"/>
        <w:docPartObj>
          <w:docPartGallery w:val="Page Numbers (Top of Page)"/>
          <w:docPartUnique/>
        </w:docPartObj>
      </w:sdtPr>
      <w:sdtEndPr>
        <w:rPr>
          <w:noProof/>
        </w:rPr>
      </w:sdtEndPr>
      <w:sdtContent>
        <w:r w:rsidR="00B02EEF">
          <w:fldChar w:fldCharType="begin"/>
        </w:r>
        <w:r w:rsidR="00B02EEF">
          <w:instrText xml:space="preserve"> PAGE   \* MERGEFORMAT </w:instrText>
        </w:r>
        <w:r w:rsidR="00B02EEF">
          <w:fldChar w:fldCharType="separate"/>
        </w:r>
        <w:r w:rsidR="00B02EEF">
          <w:rPr>
            <w:noProof/>
          </w:rPr>
          <w:t>2</w:t>
        </w:r>
        <w:r w:rsidR="00B02EEF">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9D42" w14:textId="745E42EC" w:rsidR="003755BE" w:rsidRDefault="00F8477C" w:rsidP="000B5D35">
    <w:pPr>
      <w:pStyle w:val="Header"/>
      <w:jc w:val="center"/>
    </w:pPr>
    <w:r>
      <w:rPr>
        <w:noProof/>
      </w:rPr>
      <w:drawing>
        <wp:anchor distT="0" distB="0" distL="114300" distR="114300" simplePos="0" relativeHeight="251666944" behindDoc="1" locked="0" layoutInCell="1" allowOverlap="1" wp14:anchorId="045C03ED" wp14:editId="067B9F4D">
          <wp:simplePos x="0" y="0"/>
          <wp:positionH relativeFrom="column">
            <wp:posOffset>2458720</wp:posOffset>
          </wp:positionH>
          <wp:positionV relativeFrom="paragraph">
            <wp:posOffset>250190</wp:posOffset>
          </wp:positionV>
          <wp:extent cx="1212850" cy="1104900"/>
          <wp:effectExtent l="0" t="0" r="6350" b="0"/>
          <wp:wrapTopAndBottom/>
          <wp:docPr id="1922351766" name="Picture 1922351766" descr="C:\Users\vklink\AppData\Local\Microsoft\Windows\INetCache\Content.Word\MMILogo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klink\AppData\Local\Microsoft\Windows\INetCache\Content.Word\MMILogoFin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3151"/>
    <w:multiLevelType w:val="hybridMultilevel"/>
    <w:tmpl w:val="692A032C"/>
    <w:lvl w:ilvl="0" w:tplc="2BC0F204">
      <w:start w:val="1"/>
      <w:numFmt w:val="bullet"/>
      <w:lvlText w:val="•"/>
      <w:lvlJc w:val="left"/>
      <w:pPr>
        <w:tabs>
          <w:tab w:val="num" w:pos="-1080"/>
        </w:tabs>
        <w:ind w:left="-1080" w:hanging="360"/>
      </w:pPr>
      <w:rPr>
        <w:rFonts w:ascii="Arial" w:hAnsi="Arial" w:hint="default"/>
      </w:rPr>
    </w:lvl>
    <w:lvl w:ilvl="1" w:tplc="4678D8E4">
      <w:numFmt w:val="bullet"/>
      <w:lvlText w:val="•"/>
      <w:lvlJc w:val="left"/>
      <w:pPr>
        <w:tabs>
          <w:tab w:val="num" w:pos="-360"/>
        </w:tabs>
        <w:ind w:left="-360" w:hanging="360"/>
      </w:pPr>
      <w:rPr>
        <w:rFonts w:ascii="Arial" w:hAnsi="Arial" w:hint="default"/>
      </w:rPr>
    </w:lvl>
    <w:lvl w:ilvl="2" w:tplc="1FCAE562" w:tentative="1">
      <w:start w:val="1"/>
      <w:numFmt w:val="bullet"/>
      <w:lvlText w:val="•"/>
      <w:lvlJc w:val="left"/>
      <w:pPr>
        <w:tabs>
          <w:tab w:val="num" w:pos="360"/>
        </w:tabs>
        <w:ind w:left="360" w:hanging="360"/>
      </w:pPr>
      <w:rPr>
        <w:rFonts w:ascii="Arial" w:hAnsi="Arial" w:hint="default"/>
      </w:rPr>
    </w:lvl>
    <w:lvl w:ilvl="3" w:tplc="6A000574" w:tentative="1">
      <w:start w:val="1"/>
      <w:numFmt w:val="bullet"/>
      <w:lvlText w:val="•"/>
      <w:lvlJc w:val="left"/>
      <w:pPr>
        <w:tabs>
          <w:tab w:val="num" w:pos="1080"/>
        </w:tabs>
        <w:ind w:left="1080" w:hanging="360"/>
      </w:pPr>
      <w:rPr>
        <w:rFonts w:ascii="Arial" w:hAnsi="Arial" w:hint="default"/>
      </w:rPr>
    </w:lvl>
    <w:lvl w:ilvl="4" w:tplc="B11055A8" w:tentative="1">
      <w:start w:val="1"/>
      <w:numFmt w:val="bullet"/>
      <w:lvlText w:val="•"/>
      <w:lvlJc w:val="left"/>
      <w:pPr>
        <w:tabs>
          <w:tab w:val="num" w:pos="1800"/>
        </w:tabs>
        <w:ind w:left="1800" w:hanging="360"/>
      </w:pPr>
      <w:rPr>
        <w:rFonts w:ascii="Arial" w:hAnsi="Arial" w:hint="default"/>
      </w:rPr>
    </w:lvl>
    <w:lvl w:ilvl="5" w:tplc="A178E640" w:tentative="1">
      <w:start w:val="1"/>
      <w:numFmt w:val="bullet"/>
      <w:lvlText w:val="•"/>
      <w:lvlJc w:val="left"/>
      <w:pPr>
        <w:tabs>
          <w:tab w:val="num" w:pos="2520"/>
        </w:tabs>
        <w:ind w:left="2520" w:hanging="360"/>
      </w:pPr>
      <w:rPr>
        <w:rFonts w:ascii="Arial" w:hAnsi="Arial" w:hint="default"/>
      </w:rPr>
    </w:lvl>
    <w:lvl w:ilvl="6" w:tplc="C684742C" w:tentative="1">
      <w:start w:val="1"/>
      <w:numFmt w:val="bullet"/>
      <w:lvlText w:val="•"/>
      <w:lvlJc w:val="left"/>
      <w:pPr>
        <w:tabs>
          <w:tab w:val="num" w:pos="3240"/>
        </w:tabs>
        <w:ind w:left="3240" w:hanging="360"/>
      </w:pPr>
      <w:rPr>
        <w:rFonts w:ascii="Arial" w:hAnsi="Arial" w:hint="default"/>
      </w:rPr>
    </w:lvl>
    <w:lvl w:ilvl="7" w:tplc="579A3694" w:tentative="1">
      <w:start w:val="1"/>
      <w:numFmt w:val="bullet"/>
      <w:lvlText w:val="•"/>
      <w:lvlJc w:val="left"/>
      <w:pPr>
        <w:tabs>
          <w:tab w:val="num" w:pos="3960"/>
        </w:tabs>
        <w:ind w:left="3960" w:hanging="360"/>
      </w:pPr>
      <w:rPr>
        <w:rFonts w:ascii="Arial" w:hAnsi="Arial" w:hint="default"/>
      </w:rPr>
    </w:lvl>
    <w:lvl w:ilvl="8" w:tplc="2DA453DA" w:tentative="1">
      <w:start w:val="1"/>
      <w:numFmt w:val="bullet"/>
      <w:lvlText w:val="•"/>
      <w:lvlJc w:val="left"/>
      <w:pPr>
        <w:tabs>
          <w:tab w:val="num" w:pos="4680"/>
        </w:tabs>
        <w:ind w:left="4680" w:hanging="360"/>
      </w:pPr>
      <w:rPr>
        <w:rFonts w:ascii="Arial" w:hAnsi="Arial" w:hint="default"/>
      </w:rPr>
    </w:lvl>
  </w:abstractNum>
  <w:abstractNum w:abstractNumId="1" w15:restartNumberingAfterBreak="0">
    <w:nsid w:val="01A66264"/>
    <w:multiLevelType w:val="hybridMultilevel"/>
    <w:tmpl w:val="E71E03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316FC1"/>
    <w:multiLevelType w:val="hybridMultilevel"/>
    <w:tmpl w:val="F85A24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14041"/>
    <w:multiLevelType w:val="hybridMultilevel"/>
    <w:tmpl w:val="94F4B86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 w15:restartNumberingAfterBreak="0">
    <w:nsid w:val="0A917C17"/>
    <w:multiLevelType w:val="hybridMultilevel"/>
    <w:tmpl w:val="9CE46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067B3"/>
    <w:multiLevelType w:val="hybridMultilevel"/>
    <w:tmpl w:val="0BB0B85E"/>
    <w:lvl w:ilvl="0" w:tplc="43C2DDB2">
      <w:start w:val="1"/>
      <w:numFmt w:val="decimal"/>
      <w:lvlText w:val="%1."/>
      <w:lvlJc w:val="left"/>
      <w:pPr>
        <w:ind w:left="36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A40E4"/>
    <w:multiLevelType w:val="hybridMultilevel"/>
    <w:tmpl w:val="4168B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BE753DF"/>
    <w:multiLevelType w:val="hybridMultilevel"/>
    <w:tmpl w:val="74C04DC6"/>
    <w:lvl w:ilvl="0" w:tplc="84868D48">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C64777C"/>
    <w:multiLevelType w:val="hybridMultilevel"/>
    <w:tmpl w:val="7A580EC4"/>
    <w:lvl w:ilvl="0" w:tplc="BFEC3F1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073B8E"/>
    <w:multiLevelType w:val="multilevel"/>
    <w:tmpl w:val="FC1096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974F48"/>
    <w:multiLevelType w:val="hybridMultilevel"/>
    <w:tmpl w:val="2DE8AD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86547E"/>
    <w:multiLevelType w:val="hybridMultilevel"/>
    <w:tmpl w:val="6C266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E17E9"/>
    <w:multiLevelType w:val="hybridMultilevel"/>
    <w:tmpl w:val="A380E824"/>
    <w:lvl w:ilvl="0" w:tplc="FD4AA40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C5A80"/>
    <w:multiLevelType w:val="hybridMultilevel"/>
    <w:tmpl w:val="6D7E08CA"/>
    <w:lvl w:ilvl="0" w:tplc="9582313E">
      <w:start w:val="1"/>
      <w:numFmt w:val="bullet"/>
      <w:lvlText w:val="•"/>
      <w:lvlJc w:val="left"/>
      <w:pPr>
        <w:tabs>
          <w:tab w:val="num" w:pos="720"/>
        </w:tabs>
        <w:ind w:left="720" w:hanging="360"/>
      </w:pPr>
      <w:rPr>
        <w:rFonts w:ascii="Arial" w:hAnsi="Arial" w:hint="default"/>
      </w:rPr>
    </w:lvl>
    <w:lvl w:ilvl="1" w:tplc="6E96EA0A">
      <w:numFmt w:val="bullet"/>
      <w:lvlText w:val="•"/>
      <w:lvlJc w:val="left"/>
      <w:pPr>
        <w:tabs>
          <w:tab w:val="num" w:pos="1440"/>
        </w:tabs>
        <w:ind w:left="1440" w:hanging="360"/>
      </w:pPr>
      <w:rPr>
        <w:rFonts w:ascii="Arial" w:hAnsi="Arial" w:hint="default"/>
      </w:rPr>
    </w:lvl>
    <w:lvl w:ilvl="2" w:tplc="20F0FB98" w:tentative="1">
      <w:start w:val="1"/>
      <w:numFmt w:val="bullet"/>
      <w:lvlText w:val="•"/>
      <w:lvlJc w:val="left"/>
      <w:pPr>
        <w:tabs>
          <w:tab w:val="num" w:pos="2160"/>
        </w:tabs>
        <w:ind w:left="2160" w:hanging="360"/>
      </w:pPr>
      <w:rPr>
        <w:rFonts w:ascii="Arial" w:hAnsi="Arial" w:hint="default"/>
      </w:rPr>
    </w:lvl>
    <w:lvl w:ilvl="3" w:tplc="917820EA" w:tentative="1">
      <w:start w:val="1"/>
      <w:numFmt w:val="bullet"/>
      <w:lvlText w:val="•"/>
      <w:lvlJc w:val="left"/>
      <w:pPr>
        <w:tabs>
          <w:tab w:val="num" w:pos="2880"/>
        </w:tabs>
        <w:ind w:left="2880" w:hanging="360"/>
      </w:pPr>
      <w:rPr>
        <w:rFonts w:ascii="Arial" w:hAnsi="Arial" w:hint="default"/>
      </w:rPr>
    </w:lvl>
    <w:lvl w:ilvl="4" w:tplc="2384EC1A" w:tentative="1">
      <w:start w:val="1"/>
      <w:numFmt w:val="bullet"/>
      <w:lvlText w:val="•"/>
      <w:lvlJc w:val="left"/>
      <w:pPr>
        <w:tabs>
          <w:tab w:val="num" w:pos="3600"/>
        </w:tabs>
        <w:ind w:left="3600" w:hanging="360"/>
      </w:pPr>
      <w:rPr>
        <w:rFonts w:ascii="Arial" w:hAnsi="Arial" w:hint="default"/>
      </w:rPr>
    </w:lvl>
    <w:lvl w:ilvl="5" w:tplc="52923FAE" w:tentative="1">
      <w:start w:val="1"/>
      <w:numFmt w:val="bullet"/>
      <w:lvlText w:val="•"/>
      <w:lvlJc w:val="left"/>
      <w:pPr>
        <w:tabs>
          <w:tab w:val="num" w:pos="4320"/>
        </w:tabs>
        <w:ind w:left="4320" w:hanging="360"/>
      </w:pPr>
      <w:rPr>
        <w:rFonts w:ascii="Arial" w:hAnsi="Arial" w:hint="default"/>
      </w:rPr>
    </w:lvl>
    <w:lvl w:ilvl="6" w:tplc="5B5417E8" w:tentative="1">
      <w:start w:val="1"/>
      <w:numFmt w:val="bullet"/>
      <w:lvlText w:val="•"/>
      <w:lvlJc w:val="left"/>
      <w:pPr>
        <w:tabs>
          <w:tab w:val="num" w:pos="5040"/>
        </w:tabs>
        <w:ind w:left="5040" w:hanging="360"/>
      </w:pPr>
      <w:rPr>
        <w:rFonts w:ascii="Arial" w:hAnsi="Arial" w:hint="default"/>
      </w:rPr>
    </w:lvl>
    <w:lvl w:ilvl="7" w:tplc="6F9AD7E4" w:tentative="1">
      <w:start w:val="1"/>
      <w:numFmt w:val="bullet"/>
      <w:lvlText w:val="•"/>
      <w:lvlJc w:val="left"/>
      <w:pPr>
        <w:tabs>
          <w:tab w:val="num" w:pos="5760"/>
        </w:tabs>
        <w:ind w:left="5760" w:hanging="360"/>
      </w:pPr>
      <w:rPr>
        <w:rFonts w:ascii="Arial" w:hAnsi="Arial" w:hint="default"/>
      </w:rPr>
    </w:lvl>
    <w:lvl w:ilvl="8" w:tplc="002CEFE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231C06"/>
    <w:multiLevelType w:val="hybridMultilevel"/>
    <w:tmpl w:val="89E82684"/>
    <w:lvl w:ilvl="0" w:tplc="0B366F76">
      <w:start w:val="1"/>
      <w:numFmt w:val="bullet"/>
      <w:lvlText w:val="•"/>
      <w:lvlJc w:val="left"/>
      <w:pPr>
        <w:tabs>
          <w:tab w:val="num" w:pos="720"/>
        </w:tabs>
        <w:ind w:left="720" w:hanging="360"/>
      </w:pPr>
      <w:rPr>
        <w:rFonts w:ascii="Arial" w:hAnsi="Arial" w:hint="default"/>
      </w:rPr>
    </w:lvl>
    <w:lvl w:ilvl="1" w:tplc="8F0C444E">
      <w:numFmt w:val="bullet"/>
      <w:lvlText w:val="•"/>
      <w:lvlJc w:val="left"/>
      <w:pPr>
        <w:tabs>
          <w:tab w:val="num" w:pos="1440"/>
        </w:tabs>
        <w:ind w:left="1440" w:hanging="360"/>
      </w:pPr>
      <w:rPr>
        <w:rFonts w:ascii="Arial" w:hAnsi="Arial" w:hint="default"/>
      </w:rPr>
    </w:lvl>
    <w:lvl w:ilvl="2" w:tplc="DF204D72" w:tentative="1">
      <w:start w:val="1"/>
      <w:numFmt w:val="bullet"/>
      <w:lvlText w:val="•"/>
      <w:lvlJc w:val="left"/>
      <w:pPr>
        <w:tabs>
          <w:tab w:val="num" w:pos="2160"/>
        </w:tabs>
        <w:ind w:left="2160" w:hanging="360"/>
      </w:pPr>
      <w:rPr>
        <w:rFonts w:ascii="Arial" w:hAnsi="Arial" w:hint="default"/>
      </w:rPr>
    </w:lvl>
    <w:lvl w:ilvl="3" w:tplc="800E225A" w:tentative="1">
      <w:start w:val="1"/>
      <w:numFmt w:val="bullet"/>
      <w:lvlText w:val="•"/>
      <w:lvlJc w:val="left"/>
      <w:pPr>
        <w:tabs>
          <w:tab w:val="num" w:pos="2880"/>
        </w:tabs>
        <w:ind w:left="2880" w:hanging="360"/>
      </w:pPr>
      <w:rPr>
        <w:rFonts w:ascii="Arial" w:hAnsi="Arial" w:hint="default"/>
      </w:rPr>
    </w:lvl>
    <w:lvl w:ilvl="4" w:tplc="2DEADB62" w:tentative="1">
      <w:start w:val="1"/>
      <w:numFmt w:val="bullet"/>
      <w:lvlText w:val="•"/>
      <w:lvlJc w:val="left"/>
      <w:pPr>
        <w:tabs>
          <w:tab w:val="num" w:pos="3600"/>
        </w:tabs>
        <w:ind w:left="3600" w:hanging="360"/>
      </w:pPr>
      <w:rPr>
        <w:rFonts w:ascii="Arial" w:hAnsi="Arial" w:hint="default"/>
      </w:rPr>
    </w:lvl>
    <w:lvl w:ilvl="5" w:tplc="C41E61D0" w:tentative="1">
      <w:start w:val="1"/>
      <w:numFmt w:val="bullet"/>
      <w:lvlText w:val="•"/>
      <w:lvlJc w:val="left"/>
      <w:pPr>
        <w:tabs>
          <w:tab w:val="num" w:pos="4320"/>
        </w:tabs>
        <w:ind w:left="4320" w:hanging="360"/>
      </w:pPr>
      <w:rPr>
        <w:rFonts w:ascii="Arial" w:hAnsi="Arial" w:hint="default"/>
      </w:rPr>
    </w:lvl>
    <w:lvl w:ilvl="6" w:tplc="F71C896C" w:tentative="1">
      <w:start w:val="1"/>
      <w:numFmt w:val="bullet"/>
      <w:lvlText w:val="•"/>
      <w:lvlJc w:val="left"/>
      <w:pPr>
        <w:tabs>
          <w:tab w:val="num" w:pos="5040"/>
        </w:tabs>
        <w:ind w:left="5040" w:hanging="360"/>
      </w:pPr>
      <w:rPr>
        <w:rFonts w:ascii="Arial" w:hAnsi="Arial" w:hint="default"/>
      </w:rPr>
    </w:lvl>
    <w:lvl w:ilvl="7" w:tplc="9956F950" w:tentative="1">
      <w:start w:val="1"/>
      <w:numFmt w:val="bullet"/>
      <w:lvlText w:val="•"/>
      <w:lvlJc w:val="left"/>
      <w:pPr>
        <w:tabs>
          <w:tab w:val="num" w:pos="5760"/>
        </w:tabs>
        <w:ind w:left="5760" w:hanging="360"/>
      </w:pPr>
      <w:rPr>
        <w:rFonts w:ascii="Arial" w:hAnsi="Arial" w:hint="default"/>
      </w:rPr>
    </w:lvl>
    <w:lvl w:ilvl="8" w:tplc="2D428D5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B478B0"/>
    <w:multiLevelType w:val="hybridMultilevel"/>
    <w:tmpl w:val="7566653C"/>
    <w:lvl w:ilvl="0" w:tplc="43C2DDB2">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504BD8"/>
    <w:multiLevelType w:val="hybridMultilevel"/>
    <w:tmpl w:val="CEB0E1EA"/>
    <w:lvl w:ilvl="0" w:tplc="56FC6BE8">
      <w:start w:val="1"/>
      <w:numFmt w:val="bullet"/>
      <w:lvlText w:val="•"/>
      <w:lvlJc w:val="left"/>
      <w:pPr>
        <w:tabs>
          <w:tab w:val="num" w:pos="720"/>
        </w:tabs>
        <w:ind w:left="720" w:hanging="360"/>
      </w:pPr>
      <w:rPr>
        <w:rFonts w:ascii="Arial" w:hAnsi="Arial" w:hint="default"/>
      </w:rPr>
    </w:lvl>
    <w:lvl w:ilvl="1" w:tplc="FC34E4F8">
      <w:numFmt w:val="bullet"/>
      <w:lvlText w:val="•"/>
      <w:lvlJc w:val="left"/>
      <w:pPr>
        <w:tabs>
          <w:tab w:val="num" w:pos="1440"/>
        </w:tabs>
        <w:ind w:left="1440" w:hanging="360"/>
      </w:pPr>
      <w:rPr>
        <w:rFonts w:ascii="Arial" w:hAnsi="Arial" w:hint="default"/>
      </w:rPr>
    </w:lvl>
    <w:lvl w:ilvl="2" w:tplc="80BACC00" w:tentative="1">
      <w:start w:val="1"/>
      <w:numFmt w:val="bullet"/>
      <w:lvlText w:val="•"/>
      <w:lvlJc w:val="left"/>
      <w:pPr>
        <w:tabs>
          <w:tab w:val="num" w:pos="2160"/>
        </w:tabs>
        <w:ind w:left="2160" w:hanging="360"/>
      </w:pPr>
      <w:rPr>
        <w:rFonts w:ascii="Arial" w:hAnsi="Arial" w:hint="default"/>
      </w:rPr>
    </w:lvl>
    <w:lvl w:ilvl="3" w:tplc="B5201456" w:tentative="1">
      <w:start w:val="1"/>
      <w:numFmt w:val="bullet"/>
      <w:lvlText w:val="•"/>
      <w:lvlJc w:val="left"/>
      <w:pPr>
        <w:tabs>
          <w:tab w:val="num" w:pos="2880"/>
        </w:tabs>
        <w:ind w:left="2880" w:hanging="360"/>
      </w:pPr>
      <w:rPr>
        <w:rFonts w:ascii="Arial" w:hAnsi="Arial" w:hint="default"/>
      </w:rPr>
    </w:lvl>
    <w:lvl w:ilvl="4" w:tplc="9014BCF0" w:tentative="1">
      <w:start w:val="1"/>
      <w:numFmt w:val="bullet"/>
      <w:lvlText w:val="•"/>
      <w:lvlJc w:val="left"/>
      <w:pPr>
        <w:tabs>
          <w:tab w:val="num" w:pos="3600"/>
        </w:tabs>
        <w:ind w:left="3600" w:hanging="360"/>
      </w:pPr>
      <w:rPr>
        <w:rFonts w:ascii="Arial" w:hAnsi="Arial" w:hint="default"/>
      </w:rPr>
    </w:lvl>
    <w:lvl w:ilvl="5" w:tplc="E2B49530" w:tentative="1">
      <w:start w:val="1"/>
      <w:numFmt w:val="bullet"/>
      <w:lvlText w:val="•"/>
      <w:lvlJc w:val="left"/>
      <w:pPr>
        <w:tabs>
          <w:tab w:val="num" w:pos="4320"/>
        </w:tabs>
        <w:ind w:left="4320" w:hanging="360"/>
      </w:pPr>
      <w:rPr>
        <w:rFonts w:ascii="Arial" w:hAnsi="Arial" w:hint="default"/>
      </w:rPr>
    </w:lvl>
    <w:lvl w:ilvl="6" w:tplc="F6409C9E" w:tentative="1">
      <w:start w:val="1"/>
      <w:numFmt w:val="bullet"/>
      <w:lvlText w:val="•"/>
      <w:lvlJc w:val="left"/>
      <w:pPr>
        <w:tabs>
          <w:tab w:val="num" w:pos="5040"/>
        </w:tabs>
        <w:ind w:left="5040" w:hanging="360"/>
      </w:pPr>
      <w:rPr>
        <w:rFonts w:ascii="Arial" w:hAnsi="Arial" w:hint="default"/>
      </w:rPr>
    </w:lvl>
    <w:lvl w:ilvl="7" w:tplc="D5826D1E" w:tentative="1">
      <w:start w:val="1"/>
      <w:numFmt w:val="bullet"/>
      <w:lvlText w:val="•"/>
      <w:lvlJc w:val="left"/>
      <w:pPr>
        <w:tabs>
          <w:tab w:val="num" w:pos="5760"/>
        </w:tabs>
        <w:ind w:left="5760" w:hanging="360"/>
      </w:pPr>
      <w:rPr>
        <w:rFonts w:ascii="Arial" w:hAnsi="Arial" w:hint="default"/>
      </w:rPr>
    </w:lvl>
    <w:lvl w:ilvl="8" w:tplc="6EB6CF1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1C5EAC"/>
    <w:multiLevelType w:val="hybridMultilevel"/>
    <w:tmpl w:val="A4A2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CB09DA"/>
    <w:multiLevelType w:val="hybridMultilevel"/>
    <w:tmpl w:val="22B61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FD457A"/>
    <w:multiLevelType w:val="hybridMultilevel"/>
    <w:tmpl w:val="6CD820B2"/>
    <w:lvl w:ilvl="0" w:tplc="39364736">
      <w:start w:val="1"/>
      <w:numFmt w:val="decimal"/>
      <w:lvlText w:val="%1."/>
      <w:lvlJc w:val="left"/>
      <w:pPr>
        <w:ind w:left="720" w:hanging="360"/>
      </w:pPr>
      <w:rPr>
        <w:rFonts w:eastAsiaTheme="minorEastAsia" w:hint="default"/>
        <w:color w:val="00153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6577C1"/>
    <w:multiLevelType w:val="hybridMultilevel"/>
    <w:tmpl w:val="EA60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1D101F"/>
    <w:multiLevelType w:val="hybridMultilevel"/>
    <w:tmpl w:val="4CCE0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4D0162"/>
    <w:multiLevelType w:val="hybridMultilevel"/>
    <w:tmpl w:val="FADECA3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D412DA"/>
    <w:multiLevelType w:val="hybridMultilevel"/>
    <w:tmpl w:val="738A0434"/>
    <w:lvl w:ilvl="0" w:tplc="4B5ED2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0D6FDB"/>
    <w:multiLevelType w:val="hybridMultilevel"/>
    <w:tmpl w:val="CF522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5E4509C"/>
    <w:multiLevelType w:val="hybridMultilevel"/>
    <w:tmpl w:val="2152A3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805CE"/>
    <w:multiLevelType w:val="hybridMultilevel"/>
    <w:tmpl w:val="A6CA17D4"/>
    <w:lvl w:ilvl="0" w:tplc="0409000F">
      <w:start w:val="1"/>
      <w:numFmt w:val="decimal"/>
      <w:lvlText w:val="%1."/>
      <w:lvlJc w:val="left"/>
      <w:pPr>
        <w:ind w:left="2340" w:hanging="360"/>
      </w:pPr>
      <w:rPr>
        <w:rFonts w:hint="default"/>
      </w:rPr>
    </w:lvl>
    <w:lvl w:ilvl="1" w:tplc="6BF2ACB0">
      <w:start w:val="1"/>
      <w:numFmt w:val="lowerRoman"/>
      <w:lvlText w:val="%2."/>
      <w:lvlJc w:val="left"/>
      <w:pPr>
        <w:ind w:left="3060" w:hanging="360"/>
      </w:pPr>
      <w:rPr>
        <w:rFonts w:asciiTheme="minorHAnsi" w:eastAsiaTheme="minorHAnsi" w:hAnsiTheme="minorHAnsi" w:cstheme="minorBidi"/>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5A0B240E"/>
    <w:multiLevelType w:val="multilevel"/>
    <w:tmpl w:val="B030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971249"/>
    <w:multiLevelType w:val="hybridMultilevel"/>
    <w:tmpl w:val="46EE783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F7C5AF3"/>
    <w:multiLevelType w:val="hybridMultilevel"/>
    <w:tmpl w:val="CBC250A8"/>
    <w:lvl w:ilvl="0" w:tplc="B0F2A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C1548E"/>
    <w:multiLevelType w:val="hybridMultilevel"/>
    <w:tmpl w:val="4300B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E6BDF"/>
    <w:multiLevelType w:val="hybridMultilevel"/>
    <w:tmpl w:val="6E0094F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340E13"/>
    <w:multiLevelType w:val="hybridMultilevel"/>
    <w:tmpl w:val="3F5E5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57E5E19"/>
    <w:multiLevelType w:val="hybridMultilevel"/>
    <w:tmpl w:val="6EF65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893EE3"/>
    <w:multiLevelType w:val="hybridMultilevel"/>
    <w:tmpl w:val="8A58C59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F9C7870"/>
    <w:multiLevelType w:val="hybridMultilevel"/>
    <w:tmpl w:val="6DD4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1B0940"/>
    <w:multiLevelType w:val="hybridMultilevel"/>
    <w:tmpl w:val="B518055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0CE539A"/>
    <w:multiLevelType w:val="hybridMultilevel"/>
    <w:tmpl w:val="ED2A03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6864AB6"/>
    <w:multiLevelType w:val="hybridMultilevel"/>
    <w:tmpl w:val="B7E2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844E26"/>
    <w:multiLevelType w:val="hybridMultilevel"/>
    <w:tmpl w:val="0F464416"/>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0458352">
    <w:abstractNumId w:val="6"/>
  </w:num>
  <w:num w:numId="2" w16cid:durableId="1034232905">
    <w:abstractNumId w:val="2"/>
  </w:num>
  <w:num w:numId="3" w16cid:durableId="1260405067">
    <w:abstractNumId w:val="11"/>
  </w:num>
  <w:num w:numId="4" w16cid:durableId="1621717035">
    <w:abstractNumId w:val="30"/>
  </w:num>
  <w:num w:numId="5" w16cid:durableId="449979678">
    <w:abstractNumId w:val="24"/>
  </w:num>
  <w:num w:numId="6" w16cid:durableId="1321227428">
    <w:abstractNumId w:val="37"/>
  </w:num>
  <w:num w:numId="7" w16cid:durableId="986671109">
    <w:abstractNumId w:val="28"/>
  </w:num>
  <w:num w:numId="8" w16cid:durableId="1492477897">
    <w:abstractNumId w:val="10"/>
  </w:num>
  <w:num w:numId="9" w16cid:durableId="755785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179526">
    <w:abstractNumId w:val="1"/>
  </w:num>
  <w:num w:numId="11" w16cid:durableId="251401539">
    <w:abstractNumId w:val="18"/>
  </w:num>
  <w:num w:numId="12" w16cid:durableId="1294403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9868652">
    <w:abstractNumId w:val="7"/>
  </w:num>
  <w:num w:numId="14" w16cid:durableId="549534936">
    <w:abstractNumId w:val="22"/>
  </w:num>
  <w:num w:numId="15" w16cid:durableId="1002003729">
    <w:abstractNumId w:val="23"/>
  </w:num>
  <w:num w:numId="16" w16cid:durableId="1321351870">
    <w:abstractNumId w:val="29"/>
  </w:num>
  <w:num w:numId="17" w16cid:durableId="1903367030">
    <w:abstractNumId w:val="25"/>
  </w:num>
  <w:num w:numId="18" w16cid:durableId="2128310078">
    <w:abstractNumId w:val="8"/>
  </w:num>
  <w:num w:numId="19" w16cid:durableId="359086983">
    <w:abstractNumId w:val="13"/>
  </w:num>
  <w:num w:numId="20" w16cid:durableId="635840325">
    <w:abstractNumId w:val="0"/>
  </w:num>
  <w:num w:numId="21" w16cid:durableId="895748211">
    <w:abstractNumId w:val="16"/>
  </w:num>
  <w:num w:numId="22" w16cid:durableId="2060855642">
    <w:abstractNumId w:val="14"/>
  </w:num>
  <w:num w:numId="23" w16cid:durableId="103310593">
    <w:abstractNumId w:val="19"/>
  </w:num>
  <w:num w:numId="24" w16cid:durableId="535657826">
    <w:abstractNumId w:val="38"/>
  </w:num>
  <w:num w:numId="25" w16cid:durableId="495340804">
    <w:abstractNumId w:val="20"/>
  </w:num>
  <w:num w:numId="26" w16cid:durableId="82771992">
    <w:abstractNumId w:val="17"/>
  </w:num>
  <w:num w:numId="27" w16cid:durableId="1472821160">
    <w:abstractNumId w:val="34"/>
  </w:num>
  <w:num w:numId="28" w16cid:durableId="1357536814">
    <w:abstractNumId w:val="21"/>
  </w:num>
  <w:num w:numId="29" w16cid:durableId="965156248">
    <w:abstractNumId w:val="39"/>
  </w:num>
  <w:num w:numId="30" w16cid:durableId="46296690">
    <w:abstractNumId w:val="26"/>
  </w:num>
  <w:num w:numId="31" w16cid:durableId="1583683999">
    <w:abstractNumId w:val="27"/>
  </w:num>
  <w:num w:numId="32" w16cid:durableId="2086756013">
    <w:abstractNumId w:val="35"/>
  </w:num>
  <w:num w:numId="33" w16cid:durableId="700280122">
    <w:abstractNumId w:val="3"/>
  </w:num>
  <w:num w:numId="34" w16cid:durableId="951323140">
    <w:abstractNumId w:val="32"/>
  </w:num>
  <w:num w:numId="35" w16cid:durableId="1989898337">
    <w:abstractNumId w:val="12"/>
  </w:num>
  <w:num w:numId="36" w16cid:durableId="365102857">
    <w:abstractNumId w:val="15"/>
  </w:num>
  <w:num w:numId="37" w16cid:durableId="1933933382">
    <w:abstractNumId w:val="5"/>
  </w:num>
  <w:num w:numId="38" w16cid:durableId="1758750476">
    <w:abstractNumId w:val="4"/>
  </w:num>
  <w:num w:numId="39" w16cid:durableId="362244158">
    <w:abstractNumId w:val="33"/>
  </w:num>
  <w:num w:numId="40" w16cid:durableId="2132942871">
    <w:abstractNumId w:val="36"/>
  </w:num>
  <w:num w:numId="41" w16cid:durableId="43563878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20"/>
    <w:rsid w:val="00001DD6"/>
    <w:rsid w:val="00007CAD"/>
    <w:rsid w:val="000111E8"/>
    <w:rsid w:val="00012D7E"/>
    <w:rsid w:val="000152A3"/>
    <w:rsid w:val="0001631C"/>
    <w:rsid w:val="0002069D"/>
    <w:rsid w:val="0002083A"/>
    <w:rsid w:val="00021F5F"/>
    <w:rsid w:val="0002268D"/>
    <w:rsid w:val="0002278C"/>
    <w:rsid w:val="00024B46"/>
    <w:rsid w:val="00024DAC"/>
    <w:rsid w:val="00033594"/>
    <w:rsid w:val="00034C9C"/>
    <w:rsid w:val="000357CB"/>
    <w:rsid w:val="00042101"/>
    <w:rsid w:val="00045AD2"/>
    <w:rsid w:val="00050493"/>
    <w:rsid w:val="0005060E"/>
    <w:rsid w:val="00050E49"/>
    <w:rsid w:val="00053B4C"/>
    <w:rsid w:val="00057006"/>
    <w:rsid w:val="00057D3A"/>
    <w:rsid w:val="00060BCB"/>
    <w:rsid w:val="00062A11"/>
    <w:rsid w:val="000635E0"/>
    <w:rsid w:val="0007437D"/>
    <w:rsid w:val="00075672"/>
    <w:rsid w:val="000758F4"/>
    <w:rsid w:val="00081304"/>
    <w:rsid w:val="00081F90"/>
    <w:rsid w:val="0008273A"/>
    <w:rsid w:val="00085D0F"/>
    <w:rsid w:val="00087DDE"/>
    <w:rsid w:val="00091008"/>
    <w:rsid w:val="00091010"/>
    <w:rsid w:val="00092E53"/>
    <w:rsid w:val="00097A84"/>
    <w:rsid w:val="000A118D"/>
    <w:rsid w:val="000A3656"/>
    <w:rsid w:val="000A56CC"/>
    <w:rsid w:val="000A75D2"/>
    <w:rsid w:val="000B5D35"/>
    <w:rsid w:val="000C36CA"/>
    <w:rsid w:val="000C7E49"/>
    <w:rsid w:val="000D2103"/>
    <w:rsid w:val="000D6D65"/>
    <w:rsid w:val="000E4305"/>
    <w:rsid w:val="000F286C"/>
    <w:rsid w:val="000F29BC"/>
    <w:rsid w:val="000F3715"/>
    <w:rsid w:val="000F3F1A"/>
    <w:rsid w:val="00100D89"/>
    <w:rsid w:val="001035C4"/>
    <w:rsid w:val="00103C26"/>
    <w:rsid w:val="00114E51"/>
    <w:rsid w:val="00115EFA"/>
    <w:rsid w:val="00117EA8"/>
    <w:rsid w:val="00123691"/>
    <w:rsid w:val="0012396F"/>
    <w:rsid w:val="001260B0"/>
    <w:rsid w:val="0012642F"/>
    <w:rsid w:val="00134992"/>
    <w:rsid w:val="00137E92"/>
    <w:rsid w:val="00140F9E"/>
    <w:rsid w:val="0014119E"/>
    <w:rsid w:val="0014304D"/>
    <w:rsid w:val="00144AE1"/>
    <w:rsid w:val="00146C1B"/>
    <w:rsid w:val="0015129F"/>
    <w:rsid w:val="00152127"/>
    <w:rsid w:val="001551AD"/>
    <w:rsid w:val="001618B9"/>
    <w:rsid w:val="00161EC1"/>
    <w:rsid w:val="00163941"/>
    <w:rsid w:val="00164192"/>
    <w:rsid w:val="001704D1"/>
    <w:rsid w:val="00172E51"/>
    <w:rsid w:val="00173568"/>
    <w:rsid w:val="00174890"/>
    <w:rsid w:val="0018067F"/>
    <w:rsid w:val="00180F3B"/>
    <w:rsid w:val="0019514F"/>
    <w:rsid w:val="0019571D"/>
    <w:rsid w:val="001A6B3E"/>
    <w:rsid w:val="001B408A"/>
    <w:rsid w:val="001B5174"/>
    <w:rsid w:val="001B5514"/>
    <w:rsid w:val="001B6D52"/>
    <w:rsid w:val="001B7987"/>
    <w:rsid w:val="001C2750"/>
    <w:rsid w:val="001C611B"/>
    <w:rsid w:val="001D3AAF"/>
    <w:rsid w:val="001D3C1B"/>
    <w:rsid w:val="001E05CD"/>
    <w:rsid w:val="001E12FE"/>
    <w:rsid w:val="001F2E14"/>
    <w:rsid w:val="0020421A"/>
    <w:rsid w:val="002052F5"/>
    <w:rsid w:val="00205913"/>
    <w:rsid w:val="00206DDB"/>
    <w:rsid w:val="00212237"/>
    <w:rsid w:val="002171B3"/>
    <w:rsid w:val="00217BC0"/>
    <w:rsid w:val="00217CC3"/>
    <w:rsid w:val="002226DE"/>
    <w:rsid w:val="00224283"/>
    <w:rsid w:val="00225286"/>
    <w:rsid w:val="00226F69"/>
    <w:rsid w:val="002302CE"/>
    <w:rsid w:val="00230A90"/>
    <w:rsid w:val="00237950"/>
    <w:rsid w:val="00243C0D"/>
    <w:rsid w:val="00243CF8"/>
    <w:rsid w:val="00252698"/>
    <w:rsid w:val="00255B59"/>
    <w:rsid w:val="0025690E"/>
    <w:rsid w:val="0026396F"/>
    <w:rsid w:val="002706F8"/>
    <w:rsid w:val="00272D53"/>
    <w:rsid w:val="002750F5"/>
    <w:rsid w:val="00280FF9"/>
    <w:rsid w:val="00287846"/>
    <w:rsid w:val="002909D8"/>
    <w:rsid w:val="00292610"/>
    <w:rsid w:val="002926F2"/>
    <w:rsid w:val="0029669F"/>
    <w:rsid w:val="00297C27"/>
    <w:rsid w:val="002A40FF"/>
    <w:rsid w:val="002A43D1"/>
    <w:rsid w:val="002A5049"/>
    <w:rsid w:val="002A51BB"/>
    <w:rsid w:val="002A55F8"/>
    <w:rsid w:val="002B1094"/>
    <w:rsid w:val="002B26DE"/>
    <w:rsid w:val="002B5AFE"/>
    <w:rsid w:val="002C64F5"/>
    <w:rsid w:val="002C733D"/>
    <w:rsid w:val="002D082F"/>
    <w:rsid w:val="002E31DD"/>
    <w:rsid w:val="002E5E98"/>
    <w:rsid w:val="002E6375"/>
    <w:rsid w:val="002E7E58"/>
    <w:rsid w:val="002F636F"/>
    <w:rsid w:val="002F738D"/>
    <w:rsid w:val="003039BA"/>
    <w:rsid w:val="00313475"/>
    <w:rsid w:val="00321117"/>
    <w:rsid w:val="00321785"/>
    <w:rsid w:val="003233C2"/>
    <w:rsid w:val="00331AC0"/>
    <w:rsid w:val="00334CF2"/>
    <w:rsid w:val="00335AB3"/>
    <w:rsid w:val="00340041"/>
    <w:rsid w:val="00340FC6"/>
    <w:rsid w:val="003515B8"/>
    <w:rsid w:val="00354BD3"/>
    <w:rsid w:val="00355E5B"/>
    <w:rsid w:val="003625ED"/>
    <w:rsid w:val="00362A44"/>
    <w:rsid w:val="00365272"/>
    <w:rsid w:val="00374BA5"/>
    <w:rsid w:val="003755BE"/>
    <w:rsid w:val="003776E7"/>
    <w:rsid w:val="00383554"/>
    <w:rsid w:val="003904F9"/>
    <w:rsid w:val="00395F45"/>
    <w:rsid w:val="003A1294"/>
    <w:rsid w:val="003A16A4"/>
    <w:rsid w:val="003A5558"/>
    <w:rsid w:val="003B7583"/>
    <w:rsid w:val="003C070B"/>
    <w:rsid w:val="003C5154"/>
    <w:rsid w:val="003C5191"/>
    <w:rsid w:val="003C53AC"/>
    <w:rsid w:val="003E16B6"/>
    <w:rsid w:val="003E177E"/>
    <w:rsid w:val="003E2D60"/>
    <w:rsid w:val="003E471D"/>
    <w:rsid w:val="003F308A"/>
    <w:rsid w:val="003F5E94"/>
    <w:rsid w:val="003F691B"/>
    <w:rsid w:val="003F6AFC"/>
    <w:rsid w:val="003F7499"/>
    <w:rsid w:val="003F78C7"/>
    <w:rsid w:val="003F79A2"/>
    <w:rsid w:val="004017AD"/>
    <w:rsid w:val="0040186D"/>
    <w:rsid w:val="00401CB6"/>
    <w:rsid w:val="0040213B"/>
    <w:rsid w:val="004023A1"/>
    <w:rsid w:val="004050F5"/>
    <w:rsid w:val="00415834"/>
    <w:rsid w:val="00416784"/>
    <w:rsid w:val="00421C36"/>
    <w:rsid w:val="00422BB7"/>
    <w:rsid w:val="00427186"/>
    <w:rsid w:val="00427B1D"/>
    <w:rsid w:val="00431327"/>
    <w:rsid w:val="00432498"/>
    <w:rsid w:val="00434DF2"/>
    <w:rsid w:val="00440C4B"/>
    <w:rsid w:val="004418DB"/>
    <w:rsid w:val="00442BD7"/>
    <w:rsid w:val="004447B3"/>
    <w:rsid w:val="00447E95"/>
    <w:rsid w:val="00450403"/>
    <w:rsid w:val="00457808"/>
    <w:rsid w:val="00457B6E"/>
    <w:rsid w:val="00464AA1"/>
    <w:rsid w:val="004660CD"/>
    <w:rsid w:val="004673FD"/>
    <w:rsid w:val="00467A02"/>
    <w:rsid w:val="00477573"/>
    <w:rsid w:val="00480401"/>
    <w:rsid w:val="004808C1"/>
    <w:rsid w:val="00490453"/>
    <w:rsid w:val="0049066F"/>
    <w:rsid w:val="004937DA"/>
    <w:rsid w:val="0049769C"/>
    <w:rsid w:val="004A6B1B"/>
    <w:rsid w:val="004A7DF6"/>
    <w:rsid w:val="004B024A"/>
    <w:rsid w:val="004B05A4"/>
    <w:rsid w:val="004B4EDD"/>
    <w:rsid w:val="004B5D0F"/>
    <w:rsid w:val="004B6FDA"/>
    <w:rsid w:val="004B7CE3"/>
    <w:rsid w:val="004B7EB2"/>
    <w:rsid w:val="004C0D2D"/>
    <w:rsid w:val="004C373A"/>
    <w:rsid w:val="004C43D8"/>
    <w:rsid w:val="004D0EBD"/>
    <w:rsid w:val="004D569A"/>
    <w:rsid w:val="004E1FC9"/>
    <w:rsid w:val="004E76F2"/>
    <w:rsid w:val="004F7CA5"/>
    <w:rsid w:val="005001E7"/>
    <w:rsid w:val="005021DC"/>
    <w:rsid w:val="00502594"/>
    <w:rsid w:val="00507E76"/>
    <w:rsid w:val="00511AB7"/>
    <w:rsid w:val="005120FB"/>
    <w:rsid w:val="00513119"/>
    <w:rsid w:val="0051427C"/>
    <w:rsid w:val="0051466A"/>
    <w:rsid w:val="005147F4"/>
    <w:rsid w:val="0051487A"/>
    <w:rsid w:val="00515448"/>
    <w:rsid w:val="00515C58"/>
    <w:rsid w:val="00517092"/>
    <w:rsid w:val="00520919"/>
    <w:rsid w:val="005271E8"/>
    <w:rsid w:val="00530139"/>
    <w:rsid w:val="005311F6"/>
    <w:rsid w:val="0053477C"/>
    <w:rsid w:val="00535BAB"/>
    <w:rsid w:val="005364AC"/>
    <w:rsid w:val="00543989"/>
    <w:rsid w:val="00551036"/>
    <w:rsid w:val="00554342"/>
    <w:rsid w:val="00556E96"/>
    <w:rsid w:val="00562C9C"/>
    <w:rsid w:val="0056332D"/>
    <w:rsid w:val="00564A31"/>
    <w:rsid w:val="00567B33"/>
    <w:rsid w:val="00570611"/>
    <w:rsid w:val="00575C05"/>
    <w:rsid w:val="005771E8"/>
    <w:rsid w:val="00580460"/>
    <w:rsid w:val="00584505"/>
    <w:rsid w:val="00584F1E"/>
    <w:rsid w:val="005877C8"/>
    <w:rsid w:val="00596436"/>
    <w:rsid w:val="005A37F0"/>
    <w:rsid w:val="005B1044"/>
    <w:rsid w:val="005B1E2F"/>
    <w:rsid w:val="005B36D5"/>
    <w:rsid w:val="005C02A2"/>
    <w:rsid w:val="005C0CCF"/>
    <w:rsid w:val="005C3918"/>
    <w:rsid w:val="005C7462"/>
    <w:rsid w:val="005E0D0C"/>
    <w:rsid w:val="005E2DDE"/>
    <w:rsid w:val="005E3000"/>
    <w:rsid w:val="005E3722"/>
    <w:rsid w:val="005E3CF2"/>
    <w:rsid w:val="005E41E5"/>
    <w:rsid w:val="005F51D3"/>
    <w:rsid w:val="005F5A5C"/>
    <w:rsid w:val="0060389E"/>
    <w:rsid w:val="00604742"/>
    <w:rsid w:val="00606BD7"/>
    <w:rsid w:val="0061305F"/>
    <w:rsid w:val="00620860"/>
    <w:rsid w:val="00621A5D"/>
    <w:rsid w:val="00624C0C"/>
    <w:rsid w:val="00625B39"/>
    <w:rsid w:val="00625CCF"/>
    <w:rsid w:val="006270D0"/>
    <w:rsid w:val="006271C3"/>
    <w:rsid w:val="00630CA4"/>
    <w:rsid w:val="00637339"/>
    <w:rsid w:val="00647AFB"/>
    <w:rsid w:val="00653B15"/>
    <w:rsid w:val="0065566D"/>
    <w:rsid w:val="006621D8"/>
    <w:rsid w:val="00664588"/>
    <w:rsid w:val="00666D6D"/>
    <w:rsid w:val="00672A7D"/>
    <w:rsid w:val="006819CF"/>
    <w:rsid w:val="0068278B"/>
    <w:rsid w:val="00692705"/>
    <w:rsid w:val="00693A5C"/>
    <w:rsid w:val="006A4949"/>
    <w:rsid w:val="006A692B"/>
    <w:rsid w:val="006B13C5"/>
    <w:rsid w:val="006B42FC"/>
    <w:rsid w:val="006B722E"/>
    <w:rsid w:val="006C4180"/>
    <w:rsid w:val="006C5D79"/>
    <w:rsid w:val="006C7F60"/>
    <w:rsid w:val="006D095A"/>
    <w:rsid w:val="006D4459"/>
    <w:rsid w:val="006D4EC3"/>
    <w:rsid w:val="006D561B"/>
    <w:rsid w:val="006D775D"/>
    <w:rsid w:val="006E0BB6"/>
    <w:rsid w:val="006E195A"/>
    <w:rsid w:val="006E2B4C"/>
    <w:rsid w:val="006E3615"/>
    <w:rsid w:val="006E6E46"/>
    <w:rsid w:val="006F0B01"/>
    <w:rsid w:val="006F1E78"/>
    <w:rsid w:val="006F5D92"/>
    <w:rsid w:val="00700BEC"/>
    <w:rsid w:val="00710566"/>
    <w:rsid w:val="007125A6"/>
    <w:rsid w:val="0071466D"/>
    <w:rsid w:val="007169D6"/>
    <w:rsid w:val="0072158A"/>
    <w:rsid w:val="00721F19"/>
    <w:rsid w:val="00722514"/>
    <w:rsid w:val="00723504"/>
    <w:rsid w:val="00724730"/>
    <w:rsid w:val="00730590"/>
    <w:rsid w:val="00731BFD"/>
    <w:rsid w:val="0073201A"/>
    <w:rsid w:val="00732B4D"/>
    <w:rsid w:val="00733EEE"/>
    <w:rsid w:val="00737AFF"/>
    <w:rsid w:val="00740039"/>
    <w:rsid w:val="00740D9D"/>
    <w:rsid w:val="00741D0B"/>
    <w:rsid w:val="00750BA2"/>
    <w:rsid w:val="00751547"/>
    <w:rsid w:val="007520A3"/>
    <w:rsid w:val="007529E9"/>
    <w:rsid w:val="00762380"/>
    <w:rsid w:val="00766243"/>
    <w:rsid w:val="00767509"/>
    <w:rsid w:val="00774821"/>
    <w:rsid w:val="0077506E"/>
    <w:rsid w:val="007750BA"/>
    <w:rsid w:val="0078036A"/>
    <w:rsid w:val="0078258B"/>
    <w:rsid w:val="007834DC"/>
    <w:rsid w:val="00786FBE"/>
    <w:rsid w:val="007901C0"/>
    <w:rsid w:val="00793203"/>
    <w:rsid w:val="0079402B"/>
    <w:rsid w:val="00794E15"/>
    <w:rsid w:val="007A2575"/>
    <w:rsid w:val="007A4BB1"/>
    <w:rsid w:val="007A55EE"/>
    <w:rsid w:val="007A6FE3"/>
    <w:rsid w:val="007B03B5"/>
    <w:rsid w:val="007B520E"/>
    <w:rsid w:val="007C0B71"/>
    <w:rsid w:val="007C19E7"/>
    <w:rsid w:val="007C1C7A"/>
    <w:rsid w:val="007C3274"/>
    <w:rsid w:val="007C5913"/>
    <w:rsid w:val="007C73CB"/>
    <w:rsid w:val="007D1571"/>
    <w:rsid w:val="007D2597"/>
    <w:rsid w:val="007E08CD"/>
    <w:rsid w:val="007E658A"/>
    <w:rsid w:val="007F1FC1"/>
    <w:rsid w:val="007F2265"/>
    <w:rsid w:val="00801415"/>
    <w:rsid w:val="00803915"/>
    <w:rsid w:val="008065AF"/>
    <w:rsid w:val="00807AF9"/>
    <w:rsid w:val="00813F7A"/>
    <w:rsid w:val="00817902"/>
    <w:rsid w:val="008246F7"/>
    <w:rsid w:val="008258C9"/>
    <w:rsid w:val="008268D9"/>
    <w:rsid w:val="00827CF2"/>
    <w:rsid w:val="008400CB"/>
    <w:rsid w:val="00841165"/>
    <w:rsid w:val="00844419"/>
    <w:rsid w:val="00845908"/>
    <w:rsid w:val="00845EB9"/>
    <w:rsid w:val="00846697"/>
    <w:rsid w:val="00846C57"/>
    <w:rsid w:val="008500A2"/>
    <w:rsid w:val="00852FA4"/>
    <w:rsid w:val="008627D8"/>
    <w:rsid w:val="00863750"/>
    <w:rsid w:val="00865555"/>
    <w:rsid w:val="00871D00"/>
    <w:rsid w:val="00874BD2"/>
    <w:rsid w:val="00877CEC"/>
    <w:rsid w:val="008811B3"/>
    <w:rsid w:val="008813C4"/>
    <w:rsid w:val="0088187A"/>
    <w:rsid w:val="00883715"/>
    <w:rsid w:val="008864AD"/>
    <w:rsid w:val="0089054D"/>
    <w:rsid w:val="008930A9"/>
    <w:rsid w:val="008A10D8"/>
    <w:rsid w:val="008A3600"/>
    <w:rsid w:val="008A4A13"/>
    <w:rsid w:val="008A522F"/>
    <w:rsid w:val="008A6553"/>
    <w:rsid w:val="008B116B"/>
    <w:rsid w:val="008B181C"/>
    <w:rsid w:val="008B1CF9"/>
    <w:rsid w:val="008B25B9"/>
    <w:rsid w:val="008B3A8B"/>
    <w:rsid w:val="008C762C"/>
    <w:rsid w:val="008D1EBD"/>
    <w:rsid w:val="008D5519"/>
    <w:rsid w:val="008D6218"/>
    <w:rsid w:val="008E2700"/>
    <w:rsid w:val="008E2EB9"/>
    <w:rsid w:val="008F1BCE"/>
    <w:rsid w:val="008F4B19"/>
    <w:rsid w:val="008F6FB1"/>
    <w:rsid w:val="0090076A"/>
    <w:rsid w:val="0090628F"/>
    <w:rsid w:val="009121E3"/>
    <w:rsid w:val="00912A25"/>
    <w:rsid w:val="0091567A"/>
    <w:rsid w:val="00921B4D"/>
    <w:rsid w:val="00933DA5"/>
    <w:rsid w:val="00935ED1"/>
    <w:rsid w:val="009363F9"/>
    <w:rsid w:val="00944E29"/>
    <w:rsid w:val="009458BB"/>
    <w:rsid w:val="009525E3"/>
    <w:rsid w:val="00967D33"/>
    <w:rsid w:val="00971F26"/>
    <w:rsid w:val="0097579F"/>
    <w:rsid w:val="00981FD8"/>
    <w:rsid w:val="00983F4C"/>
    <w:rsid w:val="00984212"/>
    <w:rsid w:val="0098446C"/>
    <w:rsid w:val="00984C34"/>
    <w:rsid w:val="00990D0B"/>
    <w:rsid w:val="0099393D"/>
    <w:rsid w:val="009B2B16"/>
    <w:rsid w:val="009C7144"/>
    <w:rsid w:val="009D3A2F"/>
    <w:rsid w:val="009D5997"/>
    <w:rsid w:val="009D7ADD"/>
    <w:rsid w:val="009D7ED9"/>
    <w:rsid w:val="009E0D97"/>
    <w:rsid w:val="009E3822"/>
    <w:rsid w:val="009E4A51"/>
    <w:rsid w:val="009E7EB3"/>
    <w:rsid w:val="009F361E"/>
    <w:rsid w:val="00A14E4D"/>
    <w:rsid w:val="00A15E2F"/>
    <w:rsid w:val="00A17BBB"/>
    <w:rsid w:val="00A20569"/>
    <w:rsid w:val="00A20FAD"/>
    <w:rsid w:val="00A27BAF"/>
    <w:rsid w:val="00A31169"/>
    <w:rsid w:val="00A311A4"/>
    <w:rsid w:val="00A31BFB"/>
    <w:rsid w:val="00A33566"/>
    <w:rsid w:val="00A45CAE"/>
    <w:rsid w:val="00A50CB0"/>
    <w:rsid w:val="00A52BC1"/>
    <w:rsid w:val="00A53292"/>
    <w:rsid w:val="00A5476B"/>
    <w:rsid w:val="00A54EEE"/>
    <w:rsid w:val="00A567EF"/>
    <w:rsid w:val="00A568E8"/>
    <w:rsid w:val="00A57007"/>
    <w:rsid w:val="00A57F3A"/>
    <w:rsid w:val="00A6271F"/>
    <w:rsid w:val="00A63078"/>
    <w:rsid w:val="00A6584D"/>
    <w:rsid w:val="00A67AA3"/>
    <w:rsid w:val="00A7064E"/>
    <w:rsid w:val="00A72E19"/>
    <w:rsid w:val="00A80D68"/>
    <w:rsid w:val="00A81B71"/>
    <w:rsid w:val="00A831A1"/>
    <w:rsid w:val="00A87E9E"/>
    <w:rsid w:val="00AA3843"/>
    <w:rsid w:val="00AB1A1D"/>
    <w:rsid w:val="00AB1BF5"/>
    <w:rsid w:val="00AB4930"/>
    <w:rsid w:val="00AB70B2"/>
    <w:rsid w:val="00AC675E"/>
    <w:rsid w:val="00AC7CE4"/>
    <w:rsid w:val="00AD1512"/>
    <w:rsid w:val="00AD4A5F"/>
    <w:rsid w:val="00AD5E61"/>
    <w:rsid w:val="00AD6F65"/>
    <w:rsid w:val="00AD6FE3"/>
    <w:rsid w:val="00AE0D23"/>
    <w:rsid w:val="00AE3124"/>
    <w:rsid w:val="00B00920"/>
    <w:rsid w:val="00B02EEF"/>
    <w:rsid w:val="00B0641E"/>
    <w:rsid w:val="00B13574"/>
    <w:rsid w:val="00B147EC"/>
    <w:rsid w:val="00B148A2"/>
    <w:rsid w:val="00B16971"/>
    <w:rsid w:val="00B17651"/>
    <w:rsid w:val="00B2139D"/>
    <w:rsid w:val="00B25CFF"/>
    <w:rsid w:val="00B34C05"/>
    <w:rsid w:val="00B3766B"/>
    <w:rsid w:val="00B3779C"/>
    <w:rsid w:val="00B4590E"/>
    <w:rsid w:val="00B5252D"/>
    <w:rsid w:val="00B57457"/>
    <w:rsid w:val="00B60D23"/>
    <w:rsid w:val="00B6416E"/>
    <w:rsid w:val="00B7629A"/>
    <w:rsid w:val="00B8054B"/>
    <w:rsid w:val="00B83B95"/>
    <w:rsid w:val="00B84733"/>
    <w:rsid w:val="00B849CC"/>
    <w:rsid w:val="00B94065"/>
    <w:rsid w:val="00B9485F"/>
    <w:rsid w:val="00B9707F"/>
    <w:rsid w:val="00BA0605"/>
    <w:rsid w:val="00BA167F"/>
    <w:rsid w:val="00BA60CE"/>
    <w:rsid w:val="00BB0E74"/>
    <w:rsid w:val="00BB27FA"/>
    <w:rsid w:val="00BB3336"/>
    <w:rsid w:val="00BB477A"/>
    <w:rsid w:val="00BC3A5B"/>
    <w:rsid w:val="00BC6DE6"/>
    <w:rsid w:val="00BD0307"/>
    <w:rsid w:val="00BF01C7"/>
    <w:rsid w:val="00BF0D02"/>
    <w:rsid w:val="00BF2BFC"/>
    <w:rsid w:val="00BF40F3"/>
    <w:rsid w:val="00BF4264"/>
    <w:rsid w:val="00BF5F01"/>
    <w:rsid w:val="00BF74BF"/>
    <w:rsid w:val="00C02420"/>
    <w:rsid w:val="00C03595"/>
    <w:rsid w:val="00C062C6"/>
    <w:rsid w:val="00C106CD"/>
    <w:rsid w:val="00C10A65"/>
    <w:rsid w:val="00C10B34"/>
    <w:rsid w:val="00C119A9"/>
    <w:rsid w:val="00C126DA"/>
    <w:rsid w:val="00C12E98"/>
    <w:rsid w:val="00C14D93"/>
    <w:rsid w:val="00C17612"/>
    <w:rsid w:val="00C23640"/>
    <w:rsid w:val="00C31B1A"/>
    <w:rsid w:val="00C31C15"/>
    <w:rsid w:val="00C331DA"/>
    <w:rsid w:val="00C405F0"/>
    <w:rsid w:val="00C431C3"/>
    <w:rsid w:val="00C43A19"/>
    <w:rsid w:val="00C4728F"/>
    <w:rsid w:val="00C47AC1"/>
    <w:rsid w:val="00C5209D"/>
    <w:rsid w:val="00C52CF3"/>
    <w:rsid w:val="00C531DE"/>
    <w:rsid w:val="00C56C87"/>
    <w:rsid w:val="00C57D55"/>
    <w:rsid w:val="00C611A7"/>
    <w:rsid w:val="00C61AFD"/>
    <w:rsid w:val="00C64139"/>
    <w:rsid w:val="00C64EF5"/>
    <w:rsid w:val="00C73BDD"/>
    <w:rsid w:val="00C748A2"/>
    <w:rsid w:val="00C75AC7"/>
    <w:rsid w:val="00C763BC"/>
    <w:rsid w:val="00C77AE9"/>
    <w:rsid w:val="00C83CA6"/>
    <w:rsid w:val="00C853F1"/>
    <w:rsid w:val="00C91BE1"/>
    <w:rsid w:val="00C9258B"/>
    <w:rsid w:val="00CA2476"/>
    <w:rsid w:val="00CA63D1"/>
    <w:rsid w:val="00CB1AAB"/>
    <w:rsid w:val="00CC19A5"/>
    <w:rsid w:val="00CC4C69"/>
    <w:rsid w:val="00CE5CF1"/>
    <w:rsid w:val="00CE5DDD"/>
    <w:rsid w:val="00CF380F"/>
    <w:rsid w:val="00CF3A05"/>
    <w:rsid w:val="00CF7FF7"/>
    <w:rsid w:val="00D04528"/>
    <w:rsid w:val="00D06B9E"/>
    <w:rsid w:val="00D10D2F"/>
    <w:rsid w:val="00D1188C"/>
    <w:rsid w:val="00D135E0"/>
    <w:rsid w:val="00D225C9"/>
    <w:rsid w:val="00D22E3B"/>
    <w:rsid w:val="00D234C7"/>
    <w:rsid w:val="00D41DFB"/>
    <w:rsid w:val="00D45704"/>
    <w:rsid w:val="00D46643"/>
    <w:rsid w:val="00D55B28"/>
    <w:rsid w:val="00D6035E"/>
    <w:rsid w:val="00D610B8"/>
    <w:rsid w:val="00D659BA"/>
    <w:rsid w:val="00D7207C"/>
    <w:rsid w:val="00D76884"/>
    <w:rsid w:val="00D81383"/>
    <w:rsid w:val="00D82732"/>
    <w:rsid w:val="00D92E20"/>
    <w:rsid w:val="00D950C6"/>
    <w:rsid w:val="00D957DF"/>
    <w:rsid w:val="00DA04CC"/>
    <w:rsid w:val="00DA1127"/>
    <w:rsid w:val="00DA6531"/>
    <w:rsid w:val="00DA7F4B"/>
    <w:rsid w:val="00DB3127"/>
    <w:rsid w:val="00DB7167"/>
    <w:rsid w:val="00DC7565"/>
    <w:rsid w:val="00DD7669"/>
    <w:rsid w:val="00DD7D7E"/>
    <w:rsid w:val="00DE0EB9"/>
    <w:rsid w:val="00DE3EF4"/>
    <w:rsid w:val="00DE6000"/>
    <w:rsid w:val="00DE7866"/>
    <w:rsid w:val="00DF05FB"/>
    <w:rsid w:val="00DF36F4"/>
    <w:rsid w:val="00DF47E1"/>
    <w:rsid w:val="00DF551B"/>
    <w:rsid w:val="00DF636C"/>
    <w:rsid w:val="00E0308C"/>
    <w:rsid w:val="00E05783"/>
    <w:rsid w:val="00E07EE1"/>
    <w:rsid w:val="00E07F90"/>
    <w:rsid w:val="00E104E2"/>
    <w:rsid w:val="00E13EAA"/>
    <w:rsid w:val="00E147C7"/>
    <w:rsid w:val="00E15713"/>
    <w:rsid w:val="00E175E3"/>
    <w:rsid w:val="00E20F68"/>
    <w:rsid w:val="00E25359"/>
    <w:rsid w:val="00E2747A"/>
    <w:rsid w:val="00E27EB0"/>
    <w:rsid w:val="00E40347"/>
    <w:rsid w:val="00E43310"/>
    <w:rsid w:val="00E436DC"/>
    <w:rsid w:val="00E4423D"/>
    <w:rsid w:val="00E443F9"/>
    <w:rsid w:val="00E46E87"/>
    <w:rsid w:val="00E560A1"/>
    <w:rsid w:val="00E6053E"/>
    <w:rsid w:val="00E63613"/>
    <w:rsid w:val="00E66616"/>
    <w:rsid w:val="00E72705"/>
    <w:rsid w:val="00E738E6"/>
    <w:rsid w:val="00E74E63"/>
    <w:rsid w:val="00E76B58"/>
    <w:rsid w:val="00E83088"/>
    <w:rsid w:val="00E84444"/>
    <w:rsid w:val="00E854CF"/>
    <w:rsid w:val="00E86097"/>
    <w:rsid w:val="00E86E0C"/>
    <w:rsid w:val="00E91CA2"/>
    <w:rsid w:val="00E925DB"/>
    <w:rsid w:val="00E96F4F"/>
    <w:rsid w:val="00EA0DF3"/>
    <w:rsid w:val="00EA28C5"/>
    <w:rsid w:val="00EA65BF"/>
    <w:rsid w:val="00EA70CF"/>
    <w:rsid w:val="00EB20D6"/>
    <w:rsid w:val="00EB3518"/>
    <w:rsid w:val="00EB4894"/>
    <w:rsid w:val="00EB49EA"/>
    <w:rsid w:val="00EB5629"/>
    <w:rsid w:val="00EB58CE"/>
    <w:rsid w:val="00EB7AC4"/>
    <w:rsid w:val="00EC10F3"/>
    <w:rsid w:val="00EC14DF"/>
    <w:rsid w:val="00EC23B3"/>
    <w:rsid w:val="00EC32D7"/>
    <w:rsid w:val="00ED36DE"/>
    <w:rsid w:val="00ED3F48"/>
    <w:rsid w:val="00ED4F60"/>
    <w:rsid w:val="00ED7A87"/>
    <w:rsid w:val="00EE0ABF"/>
    <w:rsid w:val="00EE1C0A"/>
    <w:rsid w:val="00EE4910"/>
    <w:rsid w:val="00EF58F7"/>
    <w:rsid w:val="00EF5F64"/>
    <w:rsid w:val="00EF6D40"/>
    <w:rsid w:val="00F011CF"/>
    <w:rsid w:val="00F1236E"/>
    <w:rsid w:val="00F14670"/>
    <w:rsid w:val="00F20718"/>
    <w:rsid w:val="00F22B29"/>
    <w:rsid w:val="00F22E8C"/>
    <w:rsid w:val="00F24E93"/>
    <w:rsid w:val="00F37ABA"/>
    <w:rsid w:val="00F423B4"/>
    <w:rsid w:val="00F42D5F"/>
    <w:rsid w:val="00F43EF4"/>
    <w:rsid w:val="00F466B0"/>
    <w:rsid w:val="00F47A5E"/>
    <w:rsid w:val="00F5042E"/>
    <w:rsid w:val="00F51A52"/>
    <w:rsid w:val="00F51EAB"/>
    <w:rsid w:val="00F5451A"/>
    <w:rsid w:val="00F561A1"/>
    <w:rsid w:val="00F565D6"/>
    <w:rsid w:val="00F60945"/>
    <w:rsid w:val="00F61DE5"/>
    <w:rsid w:val="00F70821"/>
    <w:rsid w:val="00F71BC0"/>
    <w:rsid w:val="00F71E9C"/>
    <w:rsid w:val="00F76EBE"/>
    <w:rsid w:val="00F82E99"/>
    <w:rsid w:val="00F83DB8"/>
    <w:rsid w:val="00F8421D"/>
    <w:rsid w:val="00F8477C"/>
    <w:rsid w:val="00F854BF"/>
    <w:rsid w:val="00F85FE7"/>
    <w:rsid w:val="00F86A7A"/>
    <w:rsid w:val="00F87268"/>
    <w:rsid w:val="00F8776B"/>
    <w:rsid w:val="00F93BBF"/>
    <w:rsid w:val="00F97F5B"/>
    <w:rsid w:val="00FA009D"/>
    <w:rsid w:val="00FA1AEE"/>
    <w:rsid w:val="00FA6762"/>
    <w:rsid w:val="00FB01D9"/>
    <w:rsid w:val="00FB0897"/>
    <w:rsid w:val="00FC13C4"/>
    <w:rsid w:val="00FD477C"/>
    <w:rsid w:val="00FD4D57"/>
    <w:rsid w:val="00FE5795"/>
    <w:rsid w:val="00FE57D3"/>
    <w:rsid w:val="00FF0DC4"/>
    <w:rsid w:val="00FF5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B979B"/>
  <w15:docId w15:val="{590F5AE0-628F-48BB-8976-9A0AA19FF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6F4"/>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6D4459"/>
    <w:pPr>
      <w:keepNext/>
      <w:keepLines/>
      <w:spacing w:before="240"/>
      <w:outlineLvl w:val="0"/>
    </w:pPr>
    <w:rPr>
      <w:rFonts w:asciiTheme="majorHAnsi" w:eastAsiaTheme="majorEastAsia" w:hAnsiTheme="majorHAnsi" w:cstheme="majorBidi"/>
      <w:b/>
      <w:color w:val="44546A" w:themeColor="text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459"/>
    <w:pPr>
      <w:tabs>
        <w:tab w:val="center" w:pos="4680"/>
        <w:tab w:val="right" w:pos="9360"/>
      </w:tabs>
    </w:pPr>
  </w:style>
  <w:style w:type="character" w:customStyle="1" w:styleId="HeaderChar">
    <w:name w:val="Header Char"/>
    <w:basedOn w:val="DefaultParagraphFont"/>
    <w:link w:val="Header"/>
    <w:uiPriority w:val="99"/>
    <w:rsid w:val="006D4459"/>
  </w:style>
  <w:style w:type="paragraph" w:styleId="Footer">
    <w:name w:val="footer"/>
    <w:basedOn w:val="Normal"/>
    <w:link w:val="FooterChar"/>
    <w:uiPriority w:val="99"/>
    <w:unhideWhenUsed/>
    <w:rsid w:val="006D4459"/>
    <w:pPr>
      <w:tabs>
        <w:tab w:val="center" w:pos="4680"/>
        <w:tab w:val="right" w:pos="9360"/>
      </w:tabs>
    </w:pPr>
  </w:style>
  <w:style w:type="character" w:customStyle="1" w:styleId="FooterChar">
    <w:name w:val="Footer Char"/>
    <w:basedOn w:val="DefaultParagraphFont"/>
    <w:link w:val="Footer"/>
    <w:uiPriority w:val="99"/>
    <w:rsid w:val="006D4459"/>
  </w:style>
  <w:style w:type="character" w:customStyle="1" w:styleId="Heading1Char">
    <w:name w:val="Heading 1 Char"/>
    <w:basedOn w:val="DefaultParagraphFont"/>
    <w:link w:val="Heading1"/>
    <w:uiPriority w:val="9"/>
    <w:rsid w:val="006D4459"/>
    <w:rPr>
      <w:rFonts w:asciiTheme="majorHAnsi" w:eastAsiaTheme="majorEastAsia" w:hAnsiTheme="majorHAnsi" w:cstheme="majorBidi"/>
      <w:b/>
      <w:color w:val="44546A" w:themeColor="text2"/>
      <w:sz w:val="32"/>
      <w:szCs w:val="32"/>
    </w:rPr>
  </w:style>
  <w:style w:type="paragraph" w:styleId="ListParagraph">
    <w:name w:val="List Paragraph"/>
    <w:basedOn w:val="Normal"/>
    <w:uiPriority w:val="34"/>
    <w:qFormat/>
    <w:rsid w:val="006D4459"/>
    <w:pPr>
      <w:ind w:left="720"/>
      <w:contextualSpacing/>
    </w:pPr>
    <w:rPr>
      <w:rFonts w:eastAsiaTheme="minorEastAsia"/>
    </w:rPr>
  </w:style>
  <w:style w:type="table" w:styleId="TableGrid">
    <w:name w:val="Table Grid"/>
    <w:basedOn w:val="TableNormal"/>
    <w:uiPriority w:val="39"/>
    <w:rsid w:val="0044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61A1"/>
    <w:rPr>
      <w:color w:val="0563C1" w:themeColor="hyperlink"/>
      <w:u w:val="single"/>
    </w:rPr>
  </w:style>
  <w:style w:type="paragraph" w:customStyle="1" w:styleId="gmail-m-8946491936473242602gmail-m6930240047762390181gmail-m-6553579460887762743msolistparagraph">
    <w:name w:val="gmail-m_-8946491936473242602gmail-m6930240047762390181gmail-m-6553579460887762743msolistparagraph"/>
    <w:basedOn w:val="Normal"/>
    <w:rsid w:val="00DF36F4"/>
    <w:pPr>
      <w:spacing w:before="100" w:beforeAutospacing="1" w:after="100" w:afterAutospacing="1"/>
    </w:pPr>
    <w:rPr>
      <w:rFonts w:ascii="Calibri" w:hAnsi="Calibri" w:cs="Calibri"/>
      <w:sz w:val="22"/>
      <w:szCs w:val="22"/>
    </w:rPr>
  </w:style>
  <w:style w:type="character" w:styleId="UnresolvedMention">
    <w:name w:val="Unresolved Mention"/>
    <w:basedOn w:val="DefaultParagraphFont"/>
    <w:uiPriority w:val="99"/>
    <w:semiHidden/>
    <w:unhideWhenUsed/>
    <w:rsid w:val="00D92E20"/>
    <w:rPr>
      <w:color w:val="605E5C"/>
      <w:shd w:val="clear" w:color="auto" w:fill="E1DFDD"/>
    </w:rPr>
  </w:style>
  <w:style w:type="character" w:styleId="Emphasis">
    <w:name w:val="Emphasis"/>
    <w:basedOn w:val="DefaultParagraphFont"/>
    <w:uiPriority w:val="20"/>
    <w:qFormat/>
    <w:rsid w:val="00060BCB"/>
    <w:rPr>
      <w:i/>
      <w:iCs/>
    </w:rPr>
  </w:style>
  <w:style w:type="character" w:styleId="CommentReference">
    <w:name w:val="annotation reference"/>
    <w:basedOn w:val="DefaultParagraphFont"/>
    <w:uiPriority w:val="99"/>
    <w:semiHidden/>
    <w:unhideWhenUsed/>
    <w:rsid w:val="001B5174"/>
    <w:rPr>
      <w:sz w:val="16"/>
      <w:szCs w:val="16"/>
    </w:rPr>
  </w:style>
  <w:style w:type="paragraph" w:styleId="CommentText">
    <w:name w:val="annotation text"/>
    <w:basedOn w:val="Normal"/>
    <w:link w:val="CommentTextChar"/>
    <w:uiPriority w:val="99"/>
    <w:unhideWhenUsed/>
    <w:rsid w:val="001B5174"/>
    <w:rPr>
      <w:sz w:val="20"/>
      <w:szCs w:val="20"/>
    </w:rPr>
  </w:style>
  <w:style w:type="character" w:customStyle="1" w:styleId="CommentTextChar">
    <w:name w:val="Comment Text Char"/>
    <w:basedOn w:val="DefaultParagraphFont"/>
    <w:link w:val="CommentText"/>
    <w:uiPriority w:val="99"/>
    <w:rsid w:val="001B517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B5174"/>
    <w:rPr>
      <w:b/>
      <w:bCs/>
    </w:rPr>
  </w:style>
  <w:style w:type="character" w:customStyle="1" w:styleId="CommentSubjectChar">
    <w:name w:val="Comment Subject Char"/>
    <w:basedOn w:val="CommentTextChar"/>
    <w:link w:val="CommentSubject"/>
    <w:uiPriority w:val="99"/>
    <w:semiHidden/>
    <w:rsid w:val="001B5174"/>
    <w:rPr>
      <w:rFonts w:ascii="Times New Roman" w:hAnsi="Times New Roman" w:cs="Times New Roman"/>
      <w:b/>
      <w:bCs/>
      <w:sz w:val="20"/>
      <w:szCs w:val="20"/>
    </w:rPr>
  </w:style>
  <w:style w:type="paragraph" w:styleId="FootnoteText">
    <w:name w:val="footnote text"/>
    <w:basedOn w:val="Normal"/>
    <w:link w:val="FootnoteTextChar"/>
    <w:uiPriority w:val="99"/>
    <w:unhideWhenUsed/>
    <w:rsid w:val="00490453"/>
    <w:rPr>
      <w:sz w:val="20"/>
      <w:szCs w:val="20"/>
    </w:rPr>
  </w:style>
  <w:style w:type="character" w:customStyle="1" w:styleId="FootnoteTextChar">
    <w:name w:val="Footnote Text Char"/>
    <w:basedOn w:val="DefaultParagraphFont"/>
    <w:link w:val="FootnoteText"/>
    <w:uiPriority w:val="99"/>
    <w:rsid w:val="0049045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490453"/>
    <w:rPr>
      <w:vertAlign w:val="superscript"/>
    </w:rPr>
  </w:style>
  <w:style w:type="character" w:customStyle="1" w:styleId="al-author-delim">
    <w:name w:val="al-author-delim"/>
    <w:basedOn w:val="DefaultParagraphFont"/>
    <w:rsid w:val="00490453"/>
  </w:style>
  <w:style w:type="paragraph" w:styleId="Revision">
    <w:name w:val="Revision"/>
    <w:hidden/>
    <w:uiPriority w:val="99"/>
    <w:semiHidden/>
    <w:rsid w:val="00620860"/>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B116B"/>
    <w:rPr>
      <w:color w:val="954F72" w:themeColor="followedHyperlink"/>
      <w:u w:val="single"/>
    </w:rPr>
  </w:style>
  <w:style w:type="table" w:customStyle="1" w:styleId="TableGrid1">
    <w:name w:val="Table Grid1"/>
    <w:basedOn w:val="TableNormal"/>
    <w:next w:val="TableGrid"/>
    <w:uiPriority w:val="39"/>
    <w:rsid w:val="003A1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F286C"/>
    <w:rPr>
      <w:sz w:val="20"/>
      <w:szCs w:val="20"/>
    </w:rPr>
  </w:style>
  <w:style w:type="character" w:customStyle="1" w:styleId="EndnoteTextChar">
    <w:name w:val="Endnote Text Char"/>
    <w:basedOn w:val="DefaultParagraphFont"/>
    <w:link w:val="EndnoteText"/>
    <w:uiPriority w:val="99"/>
    <w:semiHidden/>
    <w:rsid w:val="000F286C"/>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F286C"/>
    <w:rPr>
      <w:vertAlign w:val="superscript"/>
    </w:rPr>
  </w:style>
  <w:style w:type="paragraph" w:styleId="NormalWeb">
    <w:name w:val="Normal (Web)"/>
    <w:basedOn w:val="Normal"/>
    <w:uiPriority w:val="99"/>
    <w:semiHidden/>
    <w:unhideWhenUsed/>
    <w:rsid w:val="00FA1AEE"/>
    <w:pPr>
      <w:spacing w:before="100" w:beforeAutospacing="1" w:after="100" w:afterAutospacing="1"/>
    </w:pPr>
    <w:rPr>
      <w:rFonts w:eastAsia="Times New Roman"/>
    </w:rPr>
  </w:style>
  <w:style w:type="paragraph" w:customStyle="1" w:styleId="Default">
    <w:name w:val="Default"/>
    <w:rsid w:val="00BF40F3"/>
    <w:pPr>
      <w:autoSpaceDE w:val="0"/>
      <w:autoSpaceDN w:val="0"/>
      <w:adjustRightInd w:val="0"/>
      <w:spacing w:after="0" w:line="240" w:lineRule="auto"/>
    </w:pPr>
    <w:rPr>
      <w:rFonts w:ascii="Mark OT" w:hAnsi="Mark OT" w:cs="Mark OT"/>
      <w:color w:val="000000"/>
      <w:sz w:val="24"/>
      <w:szCs w:val="24"/>
    </w:rPr>
  </w:style>
  <w:style w:type="character" w:customStyle="1" w:styleId="A9">
    <w:name w:val="A9"/>
    <w:uiPriority w:val="99"/>
    <w:rsid w:val="00BF40F3"/>
    <w:rPr>
      <w:rFonts w:cs="Mark OT"/>
      <w:color w:val="211D1E"/>
      <w:sz w:val="22"/>
      <w:szCs w:val="22"/>
    </w:rPr>
  </w:style>
  <w:style w:type="character" w:customStyle="1" w:styleId="inqyif">
    <w:name w:val="inqyif"/>
    <w:basedOn w:val="DefaultParagraphFont"/>
    <w:rsid w:val="00011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35613">
      <w:bodyDiv w:val="1"/>
      <w:marLeft w:val="0"/>
      <w:marRight w:val="0"/>
      <w:marTop w:val="0"/>
      <w:marBottom w:val="0"/>
      <w:divBdr>
        <w:top w:val="none" w:sz="0" w:space="0" w:color="auto"/>
        <w:left w:val="none" w:sz="0" w:space="0" w:color="auto"/>
        <w:bottom w:val="none" w:sz="0" w:space="0" w:color="auto"/>
        <w:right w:val="none" w:sz="0" w:space="0" w:color="auto"/>
      </w:divBdr>
      <w:divsChild>
        <w:div w:id="1488470505">
          <w:marLeft w:val="360"/>
          <w:marRight w:val="0"/>
          <w:marTop w:val="200"/>
          <w:marBottom w:val="0"/>
          <w:divBdr>
            <w:top w:val="none" w:sz="0" w:space="0" w:color="auto"/>
            <w:left w:val="none" w:sz="0" w:space="0" w:color="auto"/>
            <w:bottom w:val="none" w:sz="0" w:space="0" w:color="auto"/>
            <w:right w:val="none" w:sz="0" w:space="0" w:color="auto"/>
          </w:divBdr>
        </w:div>
        <w:div w:id="215894762">
          <w:marLeft w:val="1080"/>
          <w:marRight w:val="0"/>
          <w:marTop w:val="100"/>
          <w:marBottom w:val="0"/>
          <w:divBdr>
            <w:top w:val="none" w:sz="0" w:space="0" w:color="auto"/>
            <w:left w:val="none" w:sz="0" w:space="0" w:color="auto"/>
            <w:bottom w:val="none" w:sz="0" w:space="0" w:color="auto"/>
            <w:right w:val="none" w:sz="0" w:space="0" w:color="auto"/>
          </w:divBdr>
        </w:div>
        <w:div w:id="639194306">
          <w:marLeft w:val="1080"/>
          <w:marRight w:val="0"/>
          <w:marTop w:val="100"/>
          <w:marBottom w:val="0"/>
          <w:divBdr>
            <w:top w:val="none" w:sz="0" w:space="0" w:color="auto"/>
            <w:left w:val="none" w:sz="0" w:space="0" w:color="auto"/>
            <w:bottom w:val="none" w:sz="0" w:space="0" w:color="auto"/>
            <w:right w:val="none" w:sz="0" w:space="0" w:color="auto"/>
          </w:divBdr>
        </w:div>
        <w:div w:id="398484875">
          <w:marLeft w:val="1080"/>
          <w:marRight w:val="0"/>
          <w:marTop w:val="100"/>
          <w:marBottom w:val="0"/>
          <w:divBdr>
            <w:top w:val="none" w:sz="0" w:space="0" w:color="auto"/>
            <w:left w:val="none" w:sz="0" w:space="0" w:color="auto"/>
            <w:bottom w:val="none" w:sz="0" w:space="0" w:color="auto"/>
            <w:right w:val="none" w:sz="0" w:space="0" w:color="auto"/>
          </w:divBdr>
        </w:div>
        <w:div w:id="1138493061">
          <w:marLeft w:val="1080"/>
          <w:marRight w:val="0"/>
          <w:marTop w:val="100"/>
          <w:marBottom w:val="0"/>
          <w:divBdr>
            <w:top w:val="none" w:sz="0" w:space="0" w:color="auto"/>
            <w:left w:val="none" w:sz="0" w:space="0" w:color="auto"/>
            <w:bottom w:val="none" w:sz="0" w:space="0" w:color="auto"/>
            <w:right w:val="none" w:sz="0" w:space="0" w:color="auto"/>
          </w:divBdr>
        </w:div>
      </w:divsChild>
    </w:div>
    <w:div w:id="488131774">
      <w:bodyDiv w:val="1"/>
      <w:marLeft w:val="0"/>
      <w:marRight w:val="0"/>
      <w:marTop w:val="0"/>
      <w:marBottom w:val="0"/>
      <w:divBdr>
        <w:top w:val="none" w:sz="0" w:space="0" w:color="auto"/>
        <w:left w:val="none" w:sz="0" w:space="0" w:color="auto"/>
        <w:bottom w:val="none" w:sz="0" w:space="0" w:color="auto"/>
        <w:right w:val="none" w:sz="0" w:space="0" w:color="auto"/>
      </w:divBdr>
    </w:div>
    <w:div w:id="632096735">
      <w:bodyDiv w:val="1"/>
      <w:marLeft w:val="0"/>
      <w:marRight w:val="0"/>
      <w:marTop w:val="0"/>
      <w:marBottom w:val="0"/>
      <w:divBdr>
        <w:top w:val="none" w:sz="0" w:space="0" w:color="auto"/>
        <w:left w:val="none" w:sz="0" w:space="0" w:color="auto"/>
        <w:bottom w:val="none" w:sz="0" w:space="0" w:color="auto"/>
        <w:right w:val="none" w:sz="0" w:space="0" w:color="auto"/>
      </w:divBdr>
      <w:divsChild>
        <w:div w:id="872962619">
          <w:marLeft w:val="360"/>
          <w:marRight w:val="0"/>
          <w:marTop w:val="200"/>
          <w:marBottom w:val="0"/>
          <w:divBdr>
            <w:top w:val="none" w:sz="0" w:space="0" w:color="auto"/>
            <w:left w:val="none" w:sz="0" w:space="0" w:color="auto"/>
            <w:bottom w:val="none" w:sz="0" w:space="0" w:color="auto"/>
            <w:right w:val="none" w:sz="0" w:space="0" w:color="auto"/>
          </w:divBdr>
        </w:div>
        <w:div w:id="2078934387">
          <w:marLeft w:val="1080"/>
          <w:marRight w:val="0"/>
          <w:marTop w:val="100"/>
          <w:marBottom w:val="0"/>
          <w:divBdr>
            <w:top w:val="none" w:sz="0" w:space="0" w:color="auto"/>
            <w:left w:val="none" w:sz="0" w:space="0" w:color="auto"/>
            <w:bottom w:val="none" w:sz="0" w:space="0" w:color="auto"/>
            <w:right w:val="none" w:sz="0" w:space="0" w:color="auto"/>
          </w:divBdr>
        </w:div>
        <w:div w:id="849219923">
          <w:marLeft w:val="1080"/>
          <w:marRight w:val="0"/>
          <w:marTop w:val="100"/>
          <w:marBottom w:val="0"/>
          <w:divBdr>
            <w:top w:val="none" w:sz="0" w:space="0" w:color="auto"/>
            <w:left w:val="none" w:sz="0" w:space="0" w:color="auto"/>
            <w:bottom w:val="none" w:sz="0" w:space="0" w:color="auto"/>
            <w:right w:val="none" w:sz="0" w:space="0" w:color="auto"/>
          </w:divBdr>
        </w:div>
        <w:div w:id="1226449527">
          <w:marLeft w:val="1080"/>
          <w:marRight w:val="0"/>
          <w:marTop w:val="100"/>
          <w:marBottom w:val="0"/>
          <w:divBdr>
            <w:top w:val="none" w:sz="0" w:space="0" w:color="auto"/>
            <w:left w:val="none" w:sz="0" w:space="0" w:color="auto"/>
            <w:bottom w:val="none" w:sz="0" w:space="0" w:color="auto"/>
            <w:right w:val="none" w:sz="0" w:space="0" w:color="auto"/>
          </w:divBdr>
        </w:div>
        <w:div w:id="276838792">
          <w:marLeft w:val="360"/>
          <w:marRight w:val="0"/>
          <w:marTop w:val="200"/>
          <w:marBottom w:val="0"/>
          <w:divBdr>
            <w:top w:val="none" w:sz="0" w:space="0" w:color="auto"/>
            <w:left w:val="none" w:sz="0" w:space="0" w:color="auto"/>
            <w:bottom w:val="none" w:sz="0" w:space="0" w:color="auto"/>
            <w:right w:val="none" w:sz="0" w:space="0" w:color="auto"/>
          </w:divBdr>
        </w:div>
        <w:div w:id="480924540">
          <w:marLeft w:val="360"/>
          <w:marRight w:val="0"/>
          <w:marTop w:val="200"/>
          <w:marBottom w:val="0"/>
          <w:divBdr>
            <w:top w:val="none" w:sz="0" w:space="0" w:color="auto"/>
            <w:left w:val="none" w:sz="0" w:space="0" w:color="auto"/>
            <w:bottom w:val="none" w:sz="0" w:space="0" w:color="auto"/>
            <w:right w:val="none" w:sz="0" w:space="0" w:color="auto"/>
          </w:divBdr>
        </w:div>
        <w:div w:id="1817183056">
          <w:marLeft w:val="1080"/>
          <w:marRight w:val="0"/>
          <w:marTop w:val="100"/>
          <w:marBottom w:val="0"/>
          <w:divBdr>
            <w:top w:val="none" w:sz="0" w:space="0" w:color="auto"/>
            <w:left w:val="none" w:sz="0" w:space="0" w:color="auto"/>
            <w:bottom w:val="none" w:sz="0" w:space="0" w:color="auto"/>
            <w:right w:val="none" w:sz="0" w:space="0" w:color="auto"/>
          </w:divBdr>
        </w:div>
        <w:div w:id="1370833579">
          <w:marLeft w:val="1080"/>
          <w:marRight w:val="0"/>
          <w:marTop w:val="100"/>
          <w:marBottom w:val="0"/>
          <w:divBdr>
            <w:top w:val="none" w:sz="0" w:space="0" w:color="auto"/>
            <w:left w:val="none" w:sz="0" w:space="0" w:color="auto"/>
            <w:bottom w:val="none" w:sz="0" w:space="0" w:color="auto"/>
            <w:right w:val="none" w:sz="0" w:space="0" w:color="auto"/>
          </w:divBdr>
        </w:div>
      </w:divsChild>
    </w:div>
    <w:div w:id="760686214">
      <w:bodyDiv w:val="1"/>
      <w:marLeft w:val="0"/>
      <w:marRight w:val="0"/>
      <w:marTop w:val="0"/>
      <w:marBottom w:val="0"/>
      <w:divBdr>
        <w:top w:val="none" w:sz="0" w:space="0" w:color="auto"/>
        <w:left w:val="none" w:sz="0" w:space="0" w:color="auto"/>
        <w:bottom w:val="none" w:sz="0" w:space="0" w:color="auto"/>
        <w:right w:val="none" w:sz="0" w:space="0" w:color="auto"/>
      </w:divBdr>
      <w:divsChild>
        <w:div w:id="1753044549">
          <w:marLeft w:val="360"/>
          <w:marRight w:val="0"/>
          <w:marTop w:val="200"/>
          <w:marBottom w:val="0"/>
          <w:divBdr>
            <w:top w:val="none" w:sz="0" w:space="0" w:color="auto"/>
            <w:left w:val="none" w:sz="0" w:space="0" w:color="auto"/>
            <w:bottom w:val="none" w:sz="0" w:space="0" w:color="auto"/>
            <w:right w:val="none" w:sz="0" w:space="0" w:color="auto"/>
          </w:divBdr>
        </w:div>
        <w:div w:id="56708412">
          <w:marLeft w:val="1080"/>
          <w:marRight w:val="0"/>
          <w:marTop w:val="100"/>
          <w:marBottom w:val="0"/>
          <w:divBdr>
            <w:top w:val="none" w:sz="0" w:space="0" w:color="auto"/>
            <w:left w:val="none" w:sz="0" w:space="0" w:color="auto"/>
            <w:bottom w:val="none" w:sz="0" w:space="0" w:color="auto"/>
            <w:right w:val="none" w:sz="0" w:space="0" w:color="auto"/>
          </w:divBdr>
        </w:div>
        <w:div w:id="273639244">
          <w:marLeft w:val="1080"/>
          <w:marRight w:val="0"/>
          <w:marTop w:val="100"/>
          <w:marBottom w:val="0"/>
          <w:divBdr>
            <w:top w:val="none" w:sz="0" w:space="0" w:color="auto"/>
            <w:left w:val="none" w:sz="0" w:space="0" w:color="auto"/>
            <w:bottom w:val="none" w:sz="0" w:space="0" w:color="auto"/>
            <w:right w:val="none" w:sz="0" w:space="0" w:color="auto"/>
          </w:divBdr>
        </w:div>
        <w:div w:id="2115905007">
          <w:marLeft w:val="1080"/>
          <w:marRight w:val="0"/>
          <w:marTop w:val="100"/>
          <w:marBottom w:val="0"/>
          <w:divBdr>
            <w:top w:val="none" w:sz="0" w:space="0" w:color="auto"/>
            <w:left w:val="none" w:sz="0" w:space="0" w:color="auto"/>
            <w:bottom w:val="none" w:sz="0" w:space="0" w:color="auto"/>
            <w:right w:val="none" w:sz="0" w:space="0" w:color="auto"/>
          </w:divBdr>
        </w:div>
        <w:div w:id="139927779">
          <w:marLeft w:val="1080"/>
          <w:marRight w:val="0"/>
          <w:marTop w:val="100"/>
          <w:marBottom w:val="0"/>
          <w:divBdr>
            <w:top w:val="none" w:sz="0" w:space="0" w:color="auto"/>
            <w:left w:val="none" w:sz="0" w:space="0" w:color="auto"/>
            <w:bottom w:val="none" w:sz="0" w:space="0" w:color="auto"/>
            <w:right w:val="none" w:sz="0" w:space="0" w:color="auto"/>
          </w:divBdr>
        </w:div>
        <w:div w:id="543293690">
          <w:marLeft w:val="360"/>
          <w:marRight w:val="0"/>
          <w:marTop w:val="200"/>
          <w:marBottom w:val="0"/>
          <w:divBdr>
            <w:top w:val="none" w:sz="0" w:space="0" w:color="auto"/>
            <w:left w:val="none" w:sz="0" w:space="0" w:color="auto"/>
            <w:bottom w:val="none" w:sz="0" w:space="0" w:color="auto"/>
            <w:right w:val="none" w:sz="0" w:space="0" w:color="auto"/>
          </w:divBdr>
        </w:div>
        <w:div w:id="1403680604">
          <w:marLeft w:val="1080"/>
          <w:marRight w:val="0"/>
          <w:marTop w:val="100"/>
          <w:marBottom w:val="0"/>
          <w:divBdr>
            <w:top w:val="none" w:sz="0" w:space="0" w:color="auto"/>
            <w:left w:val="none" w:sz="0" w:space="0" w:color="auto"/>
            <w:bottom w:val="none" w:sz="0" w:space="0" w:color="auto"/>
            <w:right w:val="none" w:sz="0" w:space="0" w:color="auto"/>
          </w:divBdr>
        </w:div>
      </w:divsChild>
    </w:div>
    <w:div w:id="879171597">
      <w:bodyDiv w:val="1"/>
      <w:marLeft w:val="0"/>
      <w:marRight w:val="0"/>
      <w:marTop w:val="0"/>
      <w:marBottom w:val="0"/>
      <w:divBdr>
        <w:top w:val="none" w:sz="0" w:space="0" w:color="auto"/>
        <w:left w:val="none" w:sz="0" w:space="0" w:color="auto"/>
        <w:bottom w:val="none" w:sz="0" w:space="0" w:color="auto"/>
        <w:right w:val="none" w:sz="0" w:space="0" w:color="auto"/>
      </w:divBdr>
    </w:div>
    <w:div w:id="1085147469">
      <w:bodyDiv w:val="1"/>
      <w:marLeft w:val="0"/>
      <w:marRight w:val="0"/>
      <w:marTop w:val="0"/>
      <w:marBottom w:val="0"/>
      <w:divBdr>
        <w:top w:val="none" w:sz="0" w:space="0" w:color="auto"/>
        <w:left w:val="none" w:sz="0" w:space="0" w:color="auto"/>
        <w:bottom w:val="none" w:sz="0" w:space="0" w:color="auto"/>
        <w:right w:val="none" w:sz="0" w:space="0" w:color="auto"/>
      </w:divBdr>
    </w:div>
    <w:div w:id="1138452767">
      <w:bodyDiv w:val="1"/>
      <w:marLeft w:val="0"/>
      <w:marRight w:val="0"/>
      <w:marTop w:val="0"/>
      <w:marBottom w:val="0"/>
      <w:divBdr>
        <w:top w:val="none" w:sz="0" w:space="0" w:color="auto"/>
        <w:left w:val="none" w:sz="0" w:space="0" w:color="auto"/>
        <w:bottom w:val="none" w:sz="0" w:space="0" w:color="auto"/>
        <w:right w:val="none" w:sz="0" w:space="0" w:color="auto"/>
      </w:divBdr>
    </w:div>
    <w:div w:id="1501122159">
      <w:bodyDiv w:val="1"/>
      <w:marLeft w:val="0"/>
      <w:marRight w:val="0"/>
      <w:marTop w:val="0"/>
      <w:marBottom w:val="0"/>
      <w:divBdr>
        <w:top w:val="none" w:sz="0" w:space="0" w:color="auto"/>
        <w:left w:val="none" w:sz="0" w:space="0" w:color="auto"/>
        <w:bottom w:val="none" w:sz="0" w:space="0" w:color="auto"/>
        <w:right w:val="none" w:sz="0" w:space="0" w:color="auto"/>
      </w:divBdr>
    </w:div>
    <w:div w:id="1640915060">
      <w:bodyDiv w:val="1"/>
      <w:marLeft w:val="0"/>
      <w:marRight w:val="0"/>
      <w:marTop w:val="0"/>
      <w:marBottom w:val="0"/>
      <w:divBdr>
        <w:top w:val="none" w:sz="0" w:space="0" w:color="auto"/>
        <w:left w:val="none" w:sz="0" w:space="0" w:color="auto"/>
        <w:bottom w:val="none" w:sz="0" w:space="0" w:color="auto"/>
        <w:right w:val="none" w:sz="0" w:space="0" w:color="auto"/>
      </w:divBdr>
      <w:divsChild>
        <w:div w:id="1892225802">
          <w:marLeft w:val="0"/>
          <w:marRight w:val="0"/>
          <w:marTop w:val="0"/>
          <w:marBottom w:val="0"/>
          <w:divBdr>
            <w:top w:val="none" w:sz="0" w:space="0" w:color="auto"/>
            <w:left w:val="none" w:sz="0" w:space="0" w:color="auto"/>
            <w:bottom w:val="none" w:sz="0" w:space="0" w:color="auto"/>
            <w:right w:val="none" w:sz="0" w:space="0" w:color="auto"/>
          </w:divBdr>
          <w:divsChild>
            <w:div w:id="1685402013">
              <w:marLeft w:val="0"/>
              <w:marRight w:val="0"/>
              <w:marTop w:val="0"/>
              <w:marBottom w:val="0"/>
              <w:divBdr>
                <w:top w:val="none" w:sz="0" w:space="0" w:color="auto"/>
                <w:left w:val="none" w:sz="0" w:space="0" w:color="auto"/>
                <w:bottom w:val="none" w:sz="0" w:space="0" w:color="auto"/>
                <w:right w:val="none" w:sz="0" w:space="0" w:color="auto"/>
              </w:divBdr>
              <w:divsChild>
                <w:div w:id="1228111857">
                  <w:marLeft w:val="0"/>
                  <w:marRight w:val="0"/>
                  <w:marTop w:val="0"/>
                  <w:marBottom w:val="0"/>
                  <w:divBdr>
                    <w:top w:val="none" w:sz="0" w:space="0" w:color="auto"/>
                    <w:left w:val="none" w:sz="0" w:space="0" w:color="auto"/>
                    <w:bottom w:val="none" w:sz="0" w:space="0" w:color="auto"/>
                    <w:right w:val="none" w:sz="0" w:space="0" w:color="auto"/>
                  </w:divBdr>
                  <w:divsChild>
                    <w:div w:id="202909414">
                      <w:marLeft w:val="0"/>
                      <w:marRight w:val="0"/>
                      <w:marTop w:val="0"/>
                      <w:marBottom w:val="0"/>
                      <w:divBdr>
                        <w:top w:val="none" w:sz="0" w:space="0" w:color="auto"/>
                        <w:left w:val="none" w:sz="0" w:space="0" w:color="auto"/>
                        <w:bottom w:val="none" w:sz="0" w:space="0" w:color="auto"/>
                        <w:right w:val="none" w:sz="0" w:space="0" w:color="auto"/>
                      </w:divBdr>
                      <w:divsChild>
                        <w:div w:id="173850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867170">
          <w:marLeft w:val="0"/>
          <w:marRight w:val="0"/>
          <w:marTop w:val="0"/>
          <w:marBottom w:val="0"/>
          <w:divBdr>
            <w:top w:val="none" w:sz="0" w:space="0" w:color="auto"/>
            <w:left w:val="none" w:sz="0" w:space="0" w:color="auto"/>
            <w:bottom w:val="none" w:sz="0" w:space="0" w:color="auto"/>
            <w:right w:val="none" w:sz="0" w:space="0" w:color="auto"/>
          </w:divBdr>
          <w:divsChild>
            <w:div w:id="1755282185">
              <w:marLeft w:val="0"/>
              <w:marRight w:val="0"/>
              <w:marTop w:val="0"/>
              <w:marBottom w:val="0"/>
              <w:divBdr>
                <w:top w:val="none" w:sz="0" w:space="0" w:color="auto"/>
                <w:left w:val="none" w:sz="0" w:space="0" w:color="auto"/>
                <w:bottom w:val="none" w:sz="0" w:space="0" w:color="auto"/>
                <w:right w:val="none" w:sz="0" w:space="0" w:color="auto"/>
              </w:divBdr>
              <w:divsChild>
                <w:div w:id="1878346113">
                  <w:marLeft w:val="0"/>
                  <w:marRight w:val="0"/>
                  <w:marTop w:val="0"/>
                  <w:marBottom w:val="0"/>
                  <w:divBdr>
                    <w:top w:val="none" w:sz="0" w:space="0" w:color="auto"/>
                    <w:left w:val="none" w:sz="0" w:space="0" w:color="auto"/>
                    <w:bottom w:val="none" w:sz="0" w:space="0" w:color="auto"/>
                    <w:right w:val="none" w:sz="0" w:space="0" w:color="auto"/>
                  </w:divBdr>
                  <w:divsChild>
                    <w:div w:id="558437477">
                      <w:marLeft w:val="0"/>
                      <w:marRight w:val="0"/>
                      <w:marTop w:val="0"/>
                      <w:marBottom w:val="0"/>
                      <w:divBdr>
                        <w:top w:val="none" w:sz="0" w:space="0" w:color="auto"/>
                        <w:left w:val="none" w:sz="0" w:space="0" w:color="auto"/>
                        <w:bottom w:val="none" w:sz="0" w:space="0" w:color="auto"/>
                        <w:right w:val="none" w:sz="0" w:space="0" w:color="auto"/>
                      </w:divBdr>
                      <w:divsChild>
                        <w:div w:id="1006521410">
                          <w:marLeft w:val="0"/>
                          <w:marRight w:val="0"/>
                          <w:marTop w:val="0"/>
                          <w:marBottom w:val="0"/>
                          <w:divBdr>
                            <w:top w:val="none" w:sz="0" w:space="0" w:color="auto"/>
                            <w:left w:val="none" w:sz="0" w:space="0" w:color="auto"/>
                            <w:bottom w:val="none" w:sz="0" w:space="0" w:color="auto"/>
                            <w:right w:val="none" w:sz="0" w:space="0" w:color="auto"/>
                          </w:divBdr>
                          <w:divsChild>
                            <w:div w:id="1528828781">
                              <w:marLeft w:val="0"/>
                              <w:marRight w:val="0"/>
                              <w:marTop w:val="0"/>
                              <w:marBottom w:val="0"/>
                              <w:divBdr>
                                <w:top w:val="none" w:sz="0" w:space="0" w:color="auto"/>
                                <w:left w:val="none" w:sz="0" w:space="0" w:color="auto"/>
                                <w:bottom w:val="none" w:sz="0" w:space="0" w:color="auto"/>
                                <w:right w:val="none" w:sz="0" w:space="0" w:color="auto"/>
                              </w:divBdr>
                              <w:divsChild>
                                <w:div w:id="190965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88911">
      <w:bodyDiv w:val="1"/>
      <w:marLeft w:val="0"/>
      <w:marRight w:val="0"/>
      <w:marTop w:val="0"/>
      <w:marBottom w:val="0"/>
      <w:divBdr>
        <w:top w:val="none" w:sz="0" w:space="0" w:color="auto"/>
        <w:left w:val="none" w:sz="0" w:space="0" w:color="auto"/>
        <w:bottom w:val="none" w:sz="0" w:space="0" w:color="auto"/>
        <w:right w:val="none" w:sz="0" w:space="0" w:color="auto"/>
      </w:divBdr>
    </w:div>
    <w:div w:id="1844126830">
      <w:bodyDiv w:val="1"/>
      <w:marLeft w:val="0"/>
      <w:marRight w:val="0"/>
      <w:marTop w:val="0"/>
      <w:marBottom w:val="0"/>
      <w:divBdr>
        <w:top w:val="none" w:sz="0" w:space="0" w:color="auto"/>
        <w:left w:val="none" w:sz="0" w:space="0" w:color="auto"/>
        <w:bottom w:val="none" w:sz="0" w:space="0" w:color="auto"/>
        <w:right w:val="none" w:sz="0" w:space="0" w:color="auto"/>
      </w:divBdr>
    </w:div>
    <w:div w:id="1849363556">
      <w:bodyDiv w:val="1"/>
      <w:marLeft w:val="0"/>
      <w:marRight w:val="0"/>
      <w:marTop w:val="0"/>
      <w:marBottom w:val="0"/>
      <w:divBdr>
        <w:top w:val="none" w:sz="0" w:space="0" w:color="auto"/>
        <w:left w:val="none" w:sz="0" w:space="0" w:color="auto"/>
        <w:bottom w:val="none" w:sz="0" w:space="0" w:color="auto"/>
        <w:right w:val="none" w:sz="0" w:space="0" w:color="auto"/>
      </w:divBdr>
      <w:divsChild>
        <w:div w:id="325942921">
          <w:marLeft w:val="0"/>
          <w:marRight w:val="0"/>
          <w:marTop w:val="0"/>
          <w:marBottom w:val="0"/>
          <w:divBdr>
            <w:top w:val="none" w:sz="0" w:space="0" w:color="auto"/>
            <w:left w:val="none" w:sz="0" w:space="0" w:color="auto"/>
            <w:bottom w:val="none" w:sz="0" w:space="0" w:color="auto"/>
            <w:right w:val="none" w:sz="0" w:space="0" w:color="auto"/>
          </w:divBdr>
          <w:divsChild>
            <w:div w:id="2001537318">
              <w:marLeft w:val="0"/>
              <w:marRight w:val="0"/>
              <w:marTop w:val="0"/>
              <w:marBottom w:val="0"/>
              <w:divBdr>
                <w:top w:val="none" w:sz="0" w:space="0" w:color="auto"/>
                <w:left w:val="none" w:sz="0" w:space="0" w:color="auto"/>
                <w:bottom w:val="none" w:sz="0" w:space="0" w:color="auto"/>
                <w:right w:val="none" w:sz="0" w:space="0" w:color="auto"/>
              </w:divBdr>
              <w:divsChild>
                <w:div w:id="11664371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66305933">
      <w:bodyDiv w:val="1"/>
      <w:marLeft w:val="0"/>
      <w:marRight w:val="0"/>
      <w:marTop w:val="0"/>
      <w:marBottom w:val="0"/>
      <w:divBdr>
        <w:top w:val="none" w:sz="0" w:space="0" w:color="auto"/>
        <w:left w:val="none" w:sz="0" w:space="0" w:color="auto"/>
        <w:bottom w:val="none" w:sz="0" w:space="0" w:color="auto"/>
        <w:right w:val="none" w:sz="0" w:space="0" w:color="auto"/>
      </w:divBdr>
    </w:div>
    <w:div w:id="2061976488">
      <w:bodyDiv w:val="1"/>
      <w:marLeft w:val="0"/>
      <w:marRight w:val="0"/>
      <w:marTop w:val="0"/>
      <w:marBottom w:val="0"/>
      <w:divBdr>
        <w:top w:val="none" w:sz="0" w:space="0" w:color="auto"/>
        <w:left w:val="none" w:sz="0" w:space="0" w:color="auto"/>
        <w:bottom w:val="none" w:sz="0" w:space="0" w:color="auto"/>
        <w:right w:val="none" w:sz="0" w:space="0" w:color="auto"/>
      </w:divBdr>
    </w:div>
    <w:div w:id="2131513115">
      <w:bodyDiv w:val="1"/>
      <w:marLeft w:val="0"/>
      <w:marRight w:val="0"/>
      <w:marTop w:val="0"/>
      <w:marBottom w:val="0"/>
      <w:divBdr>
        <w:top w:val="none" w:sz="0" w:space="0" w:color="auto"/>
        <w:left w:val="none" w:sz="0" w:space="0" w:color="auto"/>
        <w:bottom w:val="none" w:sz="0" w:space="0" w:color="auto"/>
        <w:right w:val="none" w:sz="0" w:space="0" w:color="auto"/>
      </w:divBdr>
      <w:divsChild>
        <w:div w:id="1930844080">
          <w:marLeft w:val="360"/>
          <w:marRight w:val="0"/>
          <w:marTop w:val="200"/>
          <w:marBottom w:val="0"/>
          <w:divBdr>
            <w:top w:val="none" w:sz="0" w:space="0" w:color="auto"/>
            <w:left w:val="none" w:sz="0" w:space="0" w:color="auto"/>
            <w:bottom w:val="none" w:sz="0" w:space="0" w:color="auto"/>
            <w:right w:val="none" w:sz="0" w:space="0" w:color="auto"/>
          </w:divBdr>
        </w:div>
        <w:div w:id="534197064">
          <w:marLeft w:val="1080"/>
          <w:marRight w:val="0"/>
          <w:marTop w:val="100"/>
          <w:marBottom w:val="0"/>
          <w:divBdr>
            <w:top w:val="none" w:sz="0" w:space="0" w:color="auto"/>
            <w:left w:val="none" w:sz="0" w:space="0" w:color="auto"/>
            <w:bottom w:val="none" w:sz="0" w:space="0" w:color="auto"/>
            <w:right w:val="none" w:sz="0" w:space="0" w:color="auto"/>
          </w:divBdr>
        </w:div>
        <w:div w:id="1658343847">
          <w:marLeft w:val="1080"/>
          <w:marRight w:val="0"/>
          <w:marTop w:val="100"/>
          <w:marBottom w:val="0"/>
          <w:divBdr>
            <w:top w:val="none" w:sz="0" w:space="0" w:color="auto"/>
            <w:left w:val="none" w:sz="0" w:space="0" w:color="auto"/>
            <w:bottom w:val="none" w:sz="0" w:space="0" w:color="auto"/>
            <w:right w:val="none" w:sz="0" w:space="0" w:color="auto"/>
          </w:divBdr>
        </w:div>
        <w:div w:id="261769138">
          <w:marLeft w:val="360"/>
          <w:marRight w:val="0"/>
          <w:marTop w:val="200"/>
          <w:marBottom w:val="0"/>
          <w:divBdr>
            <w:top w:val="none" w:sz="0" w:space="0" w:color="auto"/>
            <w:left w:val="none" w:sz="0" w:space="0" w:color="auto"/>
            <w:bottom w:val="none" w:sz="0" w:space="0" w:color="auto"/>
            <w:right w:val="none" w:sz="0" w:space="0" w:color="auto"/>
          </w:divBdr>
        </w:div>
        <w:div w:id="1317756742">
          <w:marLeft w:val="1080"/>
          <w:marRight w:val="0"/>
          <w:marTop w:val="100"/>
          <w:marBottom w:val="0"/>
          <w:divBdr>
            <w:top w:val="none" w:sz="0" w:space="0" w:color="auto"/>
            <w:left w:val="none" w:sz="0" w:space="0" w:color="auto"/>
            <w:bottom w:val="none" w:sz="0" w:space="0" w:color="auto"/>
            <w:right w:val="none" w:sz="0" w:space="0" w:color="auto"/>
          </w:divBdr>
        </w:div>
        <w:div w:id="223805820">
          <w:marLeft w:val="1080"/>
          <w:marRight w:val="0"/>
          <w:marTop w:val="100"/>
          <w:marBottom w:val="0"/>
          <w:divBdr>
            <w:top w:val="none" w:sz="0" w:space="0" w:color="auto"/>
            <w:left w:val="none" w:sz="0" w:space="0" w:color="auto"/>
            <w:bottom w:val="none" w:sz="0" w:space="0" w:color="auto"/>
            <w:right w:val="none" w:sz="0" w:space="0" w:color="auto"/>
          </w:divBdr>
        </w:div>
      </w:divsChild>
    </w:div>
    <w:div w:id="2133593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gulations.gov/document/CMS-2023-0121-128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bechel@med.umich.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egulations.gov"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ama-assn.org/system/files/roadmap-physician-role-digital-ai.pdf" TargetMode="External"/><Relationship Id="rId3" Type="http://schemas.openxmlformats.org/officeDocument/2006/relationships/hyperlink" Target="https://pmc.ncbi.nlm.nih.gov/articles/PMC12921562/" TargetMode="External"/><Relationship Id="rId7" Type="http://schemas.openxmlformats.org/officeDocument/2006/relationships/hyperlink" Target="https://qualityindicators.ahrq.gov/measures/pqi_resources" TargetMode="External"/><Relationship Id="rId2" Type="http://schemas.openxmlformats.org/officeDocument/2006/relationships/hyperlink" Target="https://nam02.safelinks.protection.outlook.com/?url=https%3A%2F%2Fwww.healthaffairs.org%2Fcontent%2Fforefront%2Fstates-all-payer-claims-databases-can-help-cms-more-accurately-value-services&amp;data=05%7C02%7Cdbechel%40med.umich.edu%7C25d5bde2762e428ad36008df02127d14%7C1f41d613d3a14ead918d2a25b10de330%7C0%7C0%7C639231950987592290%7CUnknown%7CTWFpbGZsb3d8eyJFbXB0eU1hcGkiOnRydWUsIlYiOiIwLjAuMDAwMCIsIlAiOiJXaW4zMiIsIkFOIjoiTWFpbCIsIldUIjoyfQ%3D%3D%7C0%7C%7C%7C&amp;sdata=OIi1lDuUTE18pC89GdkhYqPkEPLB1ueFWzjU0qb6jEw%3D&amp;reserved=0" TargetMode="External"/><Relationship Id="rId1" Type="http://schemas.openxmlformats.org/officeDocument/2006/relationships/hyperlink" Target="https://www.rand.org/pubs/research_reports/RRA203-3.html" TargetMode="External"/><Relationship Id="rId6" Type="http://schemas.openxmlformats.org/officeDocument/2006/relationships/hyperlink" Target="https://pmc.ncbi.nlm.nih.gov/articles/PMC12647383/" TargetMode="External"/><Relationship Id="rId5" Type="http://schemas.openxmlformats.org/officeDocument/2006/relationships/hyperlink" Target="https://doi.org/10.1370/afm.2554" TargetMode="External"/><Relationship Id="rId4" Type="http://schemas.openxmlformats.org/officeDocument/2006/relationships/hyperlink" Target="https://mimultipyerinitiatives.wordpress.com/wp-content/uploads/2026/08/final-msms-repor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echel\OneDrive%20-%20Michigan%20Medicine\Documents\Custom%20Office%20Templates\MMI%20Letterhead%20different%20first%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7CCC3-3FCD-4A3D-AE68-1A575326A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MMI Letterhead different first page</Template>
  <TotalTime>1</TotalTime>
  <Pages>8</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Marriott, Diane</dc:creator>
  <cp:keywords/>
  <dc:description/>
  <cp:lastModifiedBy>Klink, Veralynn</cp:lastModifiedBy>
  <cp:revision>2</cp:revision>
  <cp:lastPrinted>2026-09-01T02:04:00Z</cp:lastPrinted>
  <dcterms:created xsi:type="dcterms:W3CDTF">2026-10-05T16:07:00Z</dcterms:created>
  <dcterms:modified xsi:type="dcterms:W3CDTF">2026-10-05T16:07:00Z</dcterms:modified>
</cp:coreProperties>
</file>