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8180" w:type="dxa"/>
        <w:jc w:val="center"/>
        <w:tblLayout w:type="fixed"/>
        <w:tblLook w:val="04A0" w:firstRow="1" w:lastRow="0" w:firstColumn="1" w:lastColumn="0" w:noHBand="0" w:noVBand="1"/>
      </w:tblPr>
      <w:tblGrid>
        <w:gridCol w:w="1795"/>
        <w:gridCol w:w="2700"/>
        <w:gridCol w:w="3330"/>
        <w:gridCol w:w="3330"/>
        <w:gridCol w:w="3330"/>
        <w:gridCol w:w="3695"/>
      </w:tblGrid>
      <w:tr w:rsidR="004A61C0" w:rsidRPr="00B42328" w14:paraId="770A738A" w14:textId="77777777" w:rsidTr="004A61C0">
        <w:trPr>
          <w:trHeight w:val="624"/>
          <w:tblHeader/>
          <w:jc w:val="center"/>
        </w:trPr>
        <w:tc>
          <w:tcPr>
            <w:tcW w:w="18180" w:type="dxa"/>
            <w:gridSpan w:val="6"/>
            <w:shd w:val="clear" w:color="auto" w:fill="E7E6E6" w:themeFill="background2"/>
          </w:tcPr>
          <w:p w14:paraId="76910D79" w14:textId="73177679" w:rsidR="004A61C0" w:rsidRPr="00782794" w:rsidRDefault="004A61C0" w:rsidP="00C80EEB">
            <w:pPr>
              <w:jc w:val="center"/>
              <w:rPr>
                <w:rFonts w:ascii="Calibri" w:hAnsi="Calibri" w:cs="Calibri"/>
                <w:b/>
                <w:bCs/>
              </w:rPr>
            </w:pPr>
            <w:r>
              <w:rPr>
                <w:b/>
                <w:bCs/>
                <w:sz w:val="32"/>
                <w:szCs w:val="32"/>
              </w:rPr>
              <w:t>Collaborative Care</w:t>
            </w:r>
            <w:r w:rsidRPr="00B87667">
              <w:rPr>
                <w:b/>
                <w:bCs/>
                <w:sz w:val="32"/>
                <w:szCs w:val="32"/>
              </w:rPr>
              <w:t xml:space="preserve"> </w:t>
            </w:r>
            <w:r>
              <w:rPr>
                <w:b/>
                <w:bCs/>
                <w:sz w:val="32"/>
                <w:szCs w:val="32"/>
              </w:rPr>
              <w:t xml:space="preserve">Payer Policy </w:t>
            </w:r>
            <w:r w:rsidRPr="00B87667">
              <w:rPr>
                <w:b/>
                <w:bCs/>
                <w:sz w:val="32"/>
                <w:szCs w:val="32"/>
              </w:rPr>
              <w:t>Comparative Tabl</w:t>
            </w:r>
            <w:r>
              <w:rPr>
                <w:b/>
                <w:bCs/>
                <w:sz w:val="32"/>
                <w:szCs w:val="32"/>
              </w:rPr>
              <w:t>e</w:t>
            </w:r>
            <w:r>
              <w:rPr>
                <w:b/>
                <w:bCs/>
                <w:sz w:val="32"/>
                <w:szCs w:val="32"/>
              </w:rPr>
              <w:br/>
              <w:t>(Updated March 2025)</w:t>
            </w:r>
          </w:p>
        </w:tc>
      </w:tr>
      <w:tr w:rsidR="004A61C0" w:rsidRPr="00B42328" w14:paraId="118D5F32" w14:textId="77777777" w:rsidTr="004A61C0">
        <w:trPr>
          <w:trHeight w:val="624"/>
          <w:tblHeader/>
          <w:jc w:val="center"/>
        </w:trPr>
        <w:tc>
          <w:tcPr>
            <w:tcW w:w="18180" w:type="dxa"/>
            <w:gridSpan w:val="6"/>
            <w:shd w:val="clear" w:color="auto" w:fill="E7E6E6" w:themeFill="background2"/>
          </w:tcPr>
          <w:p w14:paraId="3C8A0CD4" w14:textId="11650BED" w:rsidR="004A61C0" w:rsidRPr="00782794" w:rsidRDefault="004A61C0" w:rsidP="00C80EEB">
            <w:pPr>
              <w:jc w:val="center"/>
              <w:rPr>
                <w:rFonts w:ascii="Calibri" w:hAnsi="Calibri" w:cs="Calibri"/>
                <w:b/>
                <w:bCs/>
              </w:rPr>
            </w:pPr>
            <w:r w:rsidRPr="0020025C">
              <w:rPr>
                <w:b/>
                <w:bCs/>
              </w:rPr>
              <w:t xml:space="preserve">NOTE:  This comparative guide is meant to serve as a resource to practices regarding the general framework of </w:t>
            </w:r>
            <w:r>
              <w:rPr>
                <w:b/>
                <w:bCs/>
              </w:rPr>
              <w:t>collaborative</w:t>
            </w:r>
            <w:r w:rsidRPr="0020025C">
              <w:rPr>
                <w:b/>
                <w:bCs/>
              </w:rPr>
              <w:t xml:space="preserve"> care payer policies.  It is not a substitute for detailed payer billing and coding requirements.   It will be update</w:t>
            </w:r>
            <w:r>
              <w:rPr>
                <w:b/>
                <w:bCs/>
              </w:rPr>
              <w:t>d</w:t>
            </w:r>
            <w:r w:rsidRPr="0020025C">
              <w:rPr>
                <w:b/>
                <w:bCs/>
              </w:rPr>
              <w:t xml:space="preserve"> on an annual basis.</w:t>
            </w:r>
            <w:r>
              <w:rPr>
                <w:b/>
                <w:bCs/>
              </w:rPr>
              <w:t xml:space="preserve"> </w:t>
            </w:r>
            <w:r w:rsidRPr="00EA0651">
              <w:rPr>
                <w:b/>
                <w:bCs/>
              </w:rPr>
              <w:t xml:space="preserve">“Changes from prior versions are noted in </w:t>
            </w:r>
            <w:r w:rsidRPr="00EA0651">
              <w:rPr>
                <w:b/>
                <w:bCs/>
                <w:color w:val="FF0000"/>
              </w:rPr>
              <w:t>red font</w:t>
            </w:r>
            <w:r w:rsidRPr="00EA0651">
              <w:rPr>
                <w:b/>
                <w:bCs/>
              </w:rPr>
              <w:t>.”</w:t>
            </w:r>
          </w:p>
        </w:tc>
      </w:tr>
      <w:tr w:rsidR="004A61C0" w:rsidRPr="00B42328" w14:paraId="48168089" w14:textId="77777777" w:rsidTr="004A61C0">
        <w:trPr>
          <w:trHeight w:val="624"/>
          <w:tblHeader/>
          <w:jc w:val="center"/>
        </w:trPr>
        <w:tc>
          <w:tcPr>
            <w:tcW w:w="1795" w:type="dxa"/>
            <w:shd w:val="clear" w:color="auto" w:fill="E7E6E6" w:themeFill="background2"/>
          </w:tcPr>
          <w:p w14:paraId="63AF51F1" w14:textId="77777777" w:rsidR="004A61C0" w:rsidRPr="009D5819" w:rsidRDefault="004A61C0" w:rsidP="00ED7EFD">
            <w:pPr>
              <w:jc w:val="center"/>
              <w:rPr>
                <w:b/>
                <w:bCs/>
                <w:sz w:val="21"/>
                <w:szCs w:val="21"/>
              </w:rPr>
            </w:pPr>
          </w:p>
        </w:tc>
        <w:tc>
          <w:tcPr>
            <w:tcW w:w="2700" w:type="dxa"/>
            <w:shd w:val="clear" w:color="auto" w:fill="E7E6E6" w:themeFill="background2"/>
          </w:tcPr>
          <w:p w14:paraId="57E786B5" w14:textId="750F3B20" w:rsidR="004A61C0" w:rsidRPr="00960F68" w:rsidRDefault="00ED7EFD" w:rsidP="00ED7EFD">
            <w:pPr>
              <w:jc w:val="center"/>
              <w:rPr>
                <w:rFonts w:ascii="Calibri" w:eastAsia="Times New Roman" w:hAnsi="Calibri" w:cs="Calibri"/>
                <w:b/>
                <w:bCs/>
                <w:sz w:val="21"/>
                <w:szCs w:val="21"/>
              </w:rPr>
            </w:pPr>
            <w:hyperlink r:id="rId8" w:history="1">
              <w:r>
                <w:rPr>
                  <w:rStyle w:val="Hyperlink"/>
                  <w:rFonts w:ascii="Calibri" w:eastAsia="Times New Roman" w:hAnsi="Calibri" w:cs="Calibri"/>
                  <w:b/>
                  <w:bCs/>
                  <w:sz w:val="21"/>
                  <w:szCs w:val="21"/>
                </w:rPr>
                <w:t>CMS Medicare</w:t>
              </w:r>
            </w:hyperlink>
          </w:p>
        </w:tc>
        <w:tc>
          <w:tcPr>
            <w:tcW w:w="3330" w:type="dxa"/>
            <w:shd w:val="clear" w:color="auto" w:fill="E7E6E6" w:themeFill="background2"/>
          </w:tcPr>
          <w:p w14:paraId="6827A6C4" w14:textId="586D1C46" w:rsidR="004A61C0" w:rsidRPr="00960F68" w:rsidRDefault="004A61C0" w:rsidP="00ED7EFD">
            <w:pPr>
              <w:contextualSpacing/>
              <w:jc w:val="center"/>
              <w:rPr>
                <w:rFonts w:ascii="Calibri" w:eastAsia="Times New Roman" w:hAnsi="Calibri" w:cs="Calibri"/>
                <w:b/>
                <w:bCs/>
                <w:sz w:val="21"/>
                <w:szCs w:val="21"/>
              </w:rPr>
            </w:pPr>
            <w:r w:rsidRPr="00782794">
              <w:rPr>
                <w:rFonts w:ascii="Calibri" w:hAnsi="Calibri" w:cs="Calibri"/>
                <w:b/>
                <w:bCs/>
              </w:rPr>
              <w:t>Blue Cross and Blue Shield of Michigan (commercial and MA)</w:t>
            </w:r>
          </w:p>
        </w:tc>
        <w:tc>
          <w:tcPr>
            <w:tcW w:w="3330" w:type="dxa"/>
            <w:shd w:val="clear" w:color="auto" w:fill="E7E6E6" w:themeFill="background2"/>
          </w:tcPr>
          <w:p w14:paraId="5435A550" w14:textId="3950B6A0" w:rsidR="004A61C0" w:rsidRPr="00960F68" w:rsidRDefault="004A61C0" w:rsidP="00ED7EFD">
            <w:pPr>
              <w:contextualSpacing/>
              <w:jc w:val="center"/>
              <w:rPr>
                <w:rFonts w:ascii="Calibri" w:eastAsia="Times New Roman" w:hAnsi="Calibri" w:cs="Calibri"/>
                <w:b/>
                <w:bCs/>
                <w:sz w:val="21"/>
                <w:szCs w:val="21"/>
              </w:rPr>
            </w:pPr>
            <w:r w:rsidRPr="00782794">
              <w:rPr>
                <w:rFonts w:ascii="Calibri" w:hAnsi="Calibri" w:cs="Calibri"/>
                <w:b/>
                <w:bCs/>
              </w:rPr>
              <w:t>Priority Health (commercial and MA)</w:t>
            </w:r>
          </w:p>
        </w:tc>
        <w:tc>
          <w:tcPr>
            <w:tcW w:w="3330" w:type="dxa"/>
            <w:shd w:val="clear" w:color="auto" w:fill="E7E6E6" w:themeFill="background2"/>
          </w:tcPr>
          <w:p w14:paraId="2913CE6C" w14:textId="7EAD3E90" w:rsidR="004A61C0" w:rsidRPr="00960F68" w:rsidRDefault="004A61C0" w:rsidP="00ED7EFD">
            <w:pPr>
              <w:contextualSpacing/>
              <w:jc w:val="center"/>
              <w:rPr>
                <w:rFonts w:ascii="Calibri" w:eastAsia="Times New Roman" w:hAnsi="Calibri" w:cs="Calibri"/>
                <w:b/>
                <w:bCs/>
                <w:sz w:val="21"/>
                <w:szCs w:val="21"/>
              </w:rPr>
            </w:pPr>
            <w:r w:rsidRPr="00782794">
              <w:rPr>
                <w:rFonts w:ascii="Calibri" w:hAnsi="Calibri" w:cs="Calibri"/>
                <w:b/>
                <w:bCs/>
              </w:rPr>
              <w:t>HAP (commercial and MA)</w:t>
            </w:r>
          </w:p>
        </w:tc>
        <w:tc>
          <w:tcPr>
            <w:tcW w:w="3695" w:type="dxa"/>
            <w:shd w:val="clear" w:color="auto" w:fill="E7E6E6" w:themeFill="background2"/>
          </w:tcPr>
          <w:p w14:paraId="7DB2FDF5" w14:textId="645C2579" w:rsidR="004A61C0" w:rsidRPr="00782794" w:rsidRDefault="004A61C0" w:rsidP="00ED7EFD">
            <w:pPr>
              <w:jc w:val="center"/>
            </w:pPr>
            <w:r w:rsidRPr="00782794">
              <w:rPr>
                <w:rFonts w:ascii="Calibri" w:hAnsi="Calibri" w:cs="Calibri"/>
                <w:b/>
                <w:bCs/>
              </w:rPr>
              <w:t>MDHHS Medicaid*</w:t>
            </w:r>
          </w:p>
          <w:p w14:paraId="56C5A394" w14:textId="77777777" w:rsidR="004A61C0" w:rsidRPr="00782794" w:rsidRDefault="004A61C0" w:rsidP="00ED7EFD">
            <w:pPr>
              <w:jc w:val="center"/>
            </w:pPr>
          </w:p>
          <w:p w14:paraId="77E2CF56" w14:textId="3E166DB2" w:rsidR="004A61C0" w:rsidRPr="00960F68" w:rsidRDefault="004A61C0" w:rsidP="00ED7EFD">
            <w:pPr>
              <w:contextualSpacing/>
              <w:jc w:val="center"/>
              <w:rPr>
                <w:rFonts w:ascii="Calibri" w:eastAsia="Times New Roman" w:hAnsi="Calibri" w:cs="Calibri"/>
                <w:b/>
                <w:bCs/>
                <w:sz w:val="21"/>
                <w:szCs w:val="21"/>
              </w:rPr>
            </w:pPr>
            <w:r w:rsidRPr="00782794">
              <w:t xml:space="preserve">NOTE:  Individual MHPs may offer more generous </w:t>
            </w:r>
            <w:r w:rsidR="00DE1854" w:rsidRPr="00782794">
              <w:t>policies but</w:t>
            </w:r>
            <w:r w:rsidRPr="00782794">
              <w:t xml:space="preserve"> may not be less generous in benefit coverage.</w:t>
            </w:r>
          </w:p>
        </w:tc>
      </w:tr>
      <w:tr w:rsidR="004A61C0" w:rsidRPr="000C6A0B" w14:paraId="13604832" w14:textId="77777777" w:rsidTr="00C80EEB">
        <w:trPr>
          <w:trHeight w:val="863"/>
          <w:jc w:val="center"/>
        </w:trPr>
        <w:tc>
          <w:tcPr>
            <w:tcW w:w="1795" w:type="dxa"/>
          </w:tcPr>
          <w:p w14:paraId="11346ACC" w14:textId="62AB653E" w:rsidR="004A61C0" w:rsidRPr="000C6A0B" w:rsidRDefault="004A61C0" w:rsidP="004A61C0">
            <w:pPr>
              <w:rPr>
                <w:rFonts w:ascii="Calibri" w:hAnsi="Calibri" w:cs="Calibri"/>
                <w:b/>
                <w:bCs/>
              </w:rPr>
            </w:pPr>
            <w:bookmarkStart w:id="0" w:name="_Hlk124855456"/>
            <w:r>
              <w:rPr>
                <w:rFonts w:ascii="Calibri" w:hAnsi="Calibri" w:cs="Calibri"/>
                <w:b/>
                <w:bCs/>
              </w:rPr>
              <w:t>Billing Codes</w:t>
            </w:r>
          </w:p>
        </w:tc>
        <w:tc>
          <w:tcPr>
            <w:tcW w:w="2700" w:type="dxa"/>
          </w:tcPr>
          <w:p w14:paraId="1D94955B" w14:textId="77777777" w:rsidR="00D17557" w:rsidRDefault="00D17557" w:rsidP="00C80EEB">
            <w:pPr>
              <w:jc w:val="center"/>
            </w:pPr>
            <w:r>
              <w:t>99492</w:t>
            </w:r>
          </w:p>
          <w:p w14:paraId="6832919B" w14:textId="77777777" w:rsidR="00D17557" w:rsidRDefault="00D17557" w:rsidP="00C80EEB">
            <w:pPr>
              <w:jc w:val="center"/>
            </w:pPr>
            <w:r>
              <w:t>99493</w:t>
            </w:r>
          </w:p>
          <w:p w14:paraId="7708E76F" w14:textId="77777777" w:rsidR="00D17557" w:rsidRDefault="00D17557" w:rsidP="00C80EEB">
            <w:pPr>
              <w:jc w:val="center"/>
            </w:pPr>
            <w:r>
              <w:t>99494</w:t>
            </w:r>
          </w:p>
          <w:p w14:paraId="20E22430" w14:textId="2BA37E65" w:rsidR="004A61C0" w:rsidRPr="000C6A0B" w:rsidRDefault="00D17557" w:rsidP="00C80EEB">
            <w:pPr>
              <w:jc w:val="center"/>
            </w:pPr>
            <w:r>
              <w:t>G2214</w:t>
            </w:r>
          </w:p>
        </w:tc>
        <w:tc>
          <w:tcPr>
            <w:tcW w:w="3330" w:type="dxa"/>
          </w:tcPr>
          <w:p w14:paraId="6AD0959F" w14:textId="77777777" w:rsidR="00D17557" w:rsidRDefault="00D17557" w:rsidP="00C80EEB">
            <w:pPr>
              <w:jc w:val="center"/>
            </w:pPr>
            <w:r>
              <w:t>99492</w:t>
            </w:r>
          </w:p>
          <w:p w14:paraId="5F08D844" w14:textId="77777777" w:rsidR="00D17557" w:rsidRDefault="00D17557" w:rsidP="00C80EEB">
            <w:pPr>
              <w:jc w:val="center"/>
            </w:pPr>
            <w:r>
              <w:t>99493</w:t>
            </w:r>
          </w:p>
          <w:p w14:paraId="715D8AEE" w14:textId="77777777" w:rsidR="00D17557" w:rsidRDefault="00D17557" w:rsidP="00C80EEB">
            <w:pPr>
              <w:jc w:val="center"/>
            </w:pPr>
            <w:r>
              <w:t>99494</w:t>
            </w:r>
          </w:p>
          <w:p w14:paraId="2CA7D1AF" w14:textId="77777777" w:rsidR="00D17557" w:rsidRDefault="00D17557" w:rsidP="00C80EEB">
            <w:pPr>
              <w:jc w:val="center"/>
            </w:pPr>
            <w:r>
              <w:t>G2214</w:t>
            </w:r>
          </w:p>
          <w:p w14:paraId="1E93001C" w14:textId="3D23FEEA" w:rsidR="004A61C0" w:rsidRPr="00D17557" w:rsidRDefault="00D17557" w:rsidP="00C80EEB">
            <w:pPr>
              <w:jc w:val="center"/>
            </w:pPr>
            <w:r>
              <w:t>G0512</w:t>
            </w:r>
          </w:p>
        </w:tc>
        <w:tc>
          <w:tcPr>
            <w:tcW w:w="3330" w:type="dxa"/>
          </w:tcPr>
          <w:p w14:paraId="7EBCB32A" w14:textId="77777777" w:rsidR="00C80EEB" w:rsidRDefault="00C80EEB" w:rsidP="00C80EEB">
            <w:pPr>
              <w:jc w:val="center"/>
            </w:pPr>
            <w:r>
              <w:t>99492</w:t>
            </w:r>
          </w:p>
          <w:p w14:paraId="28324C18" w14:textId="77777777" w:rsidR="00C80EEB" w:rsidRDefault="00C80EEB" w:rsidP="00C80EEB">
            <w:pPr>
              <w:jc w:val="center"/>
            </w:pPr>
            <w:r>
              <w:t>99493</w:t>
            </w:r>
          </w:p>
          <w:p w14:paraId="2C9DF5AF" w14:textId="77777777" w:rsidR="00C80EEB" w:rsidRDefault="00C80EEB" w:rsidP="00C80EEB">
            <w:pPr>
              <w:jc w:val="center"/>
            </w:pPr>
            <w:r>
              <w:t>99494</w:t>
            </w:r>
          </w:p>
          <w:p w14:paraId="42E7008F" w14:textId="77777777" w:rsidR="00C80EEB" w:rsidRDefault="00C80EEB" w:rsidP="00C80EEB">
            <w:pPr>
              <w:jc w:val="center"/>
            </w:pPr>
            <w:r>
              <w:t>G0512</w:t>
            </w:r>
          </w:p>
          <w:p w14:paraId="0877EE45" w14:textId="330D3A74" w:rsidR="004A61C0" w:rsidRPr="00782794" w:rsidRDefault="00C80EEB" w:rsidP="00C80EEB">
            <w:pPr>
              <w:jc w:val="center"/>
            </w:pPr>
            <w:r>
              <w:t>G2214</w:t>
            </w:r>
          </w:p>
        </w:tc>
        <w:tc>
          <w:tcPr>
            <w:tcW w:w="3330" w:type="dxa"/>
          </w:tcPr>
          <w:p w14:paraId="3F47605E" w14:textId="77777777" w:rsidR="00C80EEB" w:rsidRDefault="00C80EEB" w:rsidP="00C80EEB">
            <w:pPr>
              <w:jc w:val="center"/>
            </w:pPr>
            <w:r>
              <w:t>99492</w:t>
            </w:r>
          </w:p>
          <w:p w14:paraId="3048CC64" w14:textId="77777777" w:rsidR="00C80EEB" w:rsidRDefault="00C80EEB" w:rsidP="00C80EEB">
            <w:pPr>
              <w:jc w:val="center"/>
            </w:pPr>
            <w:r>
              <w:t>99493</w:t>
            </w:r>
          </w:p>
          <w:p w14:paraId="73D5F4C9" w14:textId="77777777" w:rsidR="00C80EEB" w:rsidRDefault="00C80EEB" w:rsidP="00C80EEB">
            <w:pPr>
              <w:jc w:val="center"/>
            </w:pPr>
            <w:r>
              <w:t>99494</w:t>
            </w:r>
          </w:p>
          <w:p w14:paraId="721CC8C4" w14:textId="77777777" w:rsidR="00C80EEB" w:rsidRDefault="00C80EEB" w:rsidP="00C80EEB">
            <w:pPr>
              <w:jc w:val="center"/>
            </w:pPr>
            <w:r>
              <w:t>G2214</w:t>
            </w:r>
          </w:p>
          <w:p w14:paraId="7BFC741A" w14:textId="554EE9E2" w:rsidR="004A61C0" w:rsidRPr="00782794" w:rsidRDefault="00C80EEB" w:rsidP="00C80EEB">
            <w:pPr>
              <w:jc w:val="center"/>
            </w:pPr>
            <w:r>
              <w:t>G0512</w:t>
            </w:r>
          </w:p>
        </w:tc>
        <w:tc>
          <w:tcPr>
            <w:tcW w:w="3695" w:type="dxa"/>
          </w:tcPr>
          <w:p w14:paraId="73EF2833" w14:textId="77777777" w:rsidR="00C80EEB" w:rsidRDefault="00C80EEB" w:rsidP="00C80EEB">
            <w:pPr>
              <w:jc w:val="center"/>
            </w:pPr>
            <w:r>
              <w:t>99492</w:t>
            </w:r>
          </w:p>
          <w:p w14:paraId="38E62949" w14:textId="77777777" w:rsidR="00C80EEB" w:rsidRDefault="00C80EEB" w:rsidP="00C80EEB">
            <w:pPr>
              <w:jc w:val="center"/>
            </w:pPr>
            <w:r>
              <w:t>99493</w:t>
            </w:r>
          </w:p>
          <w:p w14:paraId="70CA99A0" w14:textId="77777777" w:rsidR="00C80EEB" w:rsidRDefault="00C80EEB" w:rsidP="00C80EEB">
            <w:pPr>
              <w:jc w:val="center"/>
            </w:pPr>
            <w:r>
              <w:t>99494</w:t>
            </w:r>
          </w:p>
          <w:p w14:paraId="2774939A" w14:textId="77777777" w:rsidR="00C80EEB" w:rsidRDefault="00C80EEB" w:rsidP="00C80EEB">
            <w:pPr>
              <w:jc w:val="center"/>
            </w:pPr>
            <w:r>
              <w:t>G0512</w:t>
            </w:r>
          </w:p>
          <w:p w14:paraId="1EFEFBA3" w14:textId="3E4F33D1" w:rsidR="004A61C0" w:rsidRPr="00782794" w:rsidRDefault="00C80EEB" w:rsidP="00C80EEB">
            <w:pPr>
              <w:jc w:val="center"/>
            </w:pPr>
            <w:r>
              <w:t>G2214</w:t>
            </w:r>
          </w:p>
        </w:tc>
      </w:tr>
      <w:tr w:rsidR="00C80EEB" w:rsidRPr="000C6A0B" w14:paraId="21FB394E" w14:textId="77777777" w:rsidTr="004A61C0">
        <w:trPr>
          <w:trHeight w:val="773"/>
          <w:jc w:val="center"/>
        </w:trPr>
        <w:tc>
          <w:tcPr>
            <w:tcW w:w="1795" w:type="dxa"/>
          </w:tcPr>
          <w:p w14:paraId="6287CE49" w14:textId="2D03688C" w:rsidR="00C80EEB" w:rsidRPr="000C6A0B" w:rsidRDefault="00C80EEB" w:rsidP="00C80EEB">
            <w:pPr>
              <w:rPr>
                <w:rFonts w:ascii="Calibri" w:hAnsi="Calibri" w:cs="Calibri"/>
                <w:b/>
                <w:bCs/>
              </w:rPr>
            </w:pPr>
            <w:r>
              <w:rPr>
                <w:rFonts w:ascii="Calibri" w:hAnsi="Calibri" w:cs="Calibri"/>
                <w:b/>
                <w:bCs/>
              </w:rPr>
              <w:t>Eligible Conditions</w:t>
            </w:r>
          </w:p>
        </w:tc>
        <w:tc>
          <w:tcPr>
            <w:tcW w:w="2700" w:type="dxa"/>
          </w:tcPr>
          <w:p w14:paraId="0F01B917" w14:textId="45F5B935" w:rsidR="00C80EEB" w:rsidRPr="000C6A0B" w:rsidRDefault="00C80EEB" w:rsidP="00C80EEB">
            <w:r w:rsidRPr="00D17557">
              <w:t>Any mental, behavioral health, or psychiatric condition treated by the billing practitioner, including substance use disorders, that, in the clinical judgment of the billing practitioner, calls for BHI services</w:t>
            </w:r>
          </w:p>
        </w:tc>
        <w:tc>
          <w:tcPr>
            <w:tcW w:w="3330" w:type="dxa"/>
          </w:tcPr>
          <w:p w14:paraId="5026506A" w14:textId="3E88491B" w:rsidR="00C80EEB" w:rsidRPr="00331FE0" w:rsidRDefault="00C80EEB" w:rsidP="00C80EEB">
            <w:pPr>
              <w:rPr>
                <w:color w:val="FF0000"/>
              </w:rPr>
            </w:pPr>
            <w:r w:rsidRPr="00331FE0">
              <w:rPr>
                <w:color w:val="FF0000"/>
              </w:rPr>
              <w:t>Focus is on depression and anxiety in primary practices and in family and OB practices for perinatal population</w:t>
            </w:r>
          </w:p>
        </w:tc>
        <w:tc>
          <w:tcPr>
            <w:tcW w:w="3330" w:type="dxa"/>
          </w:tcPr>
          <w:p w14:paraId="68E7E106" w14:textId="79A783CC" w:rsidR="00C80EEB" w:rsidRPr="00331FE0" w:rsidRDefault="00C80EEB" w:rsidP="00C80EEB">
            <w:r w:rsidRPr="00331FE0">
              <w:t>Intended to manage behavioral health conditions in primary care practices</w:t>
            </w:r>
          </w:p>
        </w:tc>
        <w:tc>
          <w:tcPr>
            <w:tcW w:w="3330" w:type="dxa"/>
          </w:tcPr>
          <w:p w14:paraId="22B0A050" w14:textId="089FFD11" w:rsidR="00C80EEB" w:rsidRPr="00782794" w:rsidRDefault="00C80EEB" w:rsidP="00C80EEB">
            <w:r w:rsidRPr="00782794">
              <w:t>Intended to manage behavioral health conditions in primary care practices</w:t>
            </w:r>
          </w:p>
        </w:tc>
        <w:tc>
          <w:tcPr>
            <w:tcW w:w="3695" w:type="dxa"/>
          </w:tcPr>
          <w:p w14:paraId="6D02DD93" w14:textId="689B0592" w:rsidR="00C80EEB" w:rsidRPr="00782794" w:rsidRDefault="00C80EEB" w:rsidP="00C80EEB">
            <w:r w:rsidRPr="00782794">
              <w:t>Include, but are not limited to, mild to moderate depression, anxiety, bipolar disorder, attention deficit disorder, substance use disorder (SUD) and individuals who may not be deemed eligible for specialist services through the Community Mental Health Services Program (CMHSP)</w:t>
            </w:r>
          </w:p>
        </w:tc>
      </w:tr>
      <w:tr w:rsidR="00C80EEB" w:rsidRPr="00C80EEB" w14:paraId="1244AFD5" w14:textId="77777777" w:rsidTr="004A61C0">
        <w:trPr>
          <w:trHeight w:val="773"/>
          <w:jc w:val="center"/>
        </w:trPr>
        <w:tc>
          <w:tcPr>
            <w:tcW w:w="1795" w:type="dxa"/>
          </w:tcPr>
          <w:p w14:paraId="265A7C1E" w14:textId="72225EEA" w:rsidR="00C80EEB" w:rsidRDefault="00C80EEB" w:rsidP="00C80EEB">
            <w:pPr>
              <w:rPr>
                <w:rFonts w:ascii="Calibri" w:hAnsi="Calibri" w:cs="Calibri"/>
                <w:b/>
                <w:bCs/>
              </w:rPr>
            </w:pPr>
            <w:r>
              <w:rPr>
                <w:rFonts w:ascii="Calibri" w:hAnsi="Calibri" w:cs="Calibri"/>
                <w:b/>
                <w:bCs/>
              </w:rPr>
              <w:t>Team Criteria</w:t>
            </w:r>
          </w:p>
        </w:tc>
        <w:tc>
          <w:tcPr>
            <w:tcW w:w="2700" w:type="dxa"/>
          </w:tcPr>
          <w:p w14:paraId="78585C1E" w14:textId="1A2FD82D" w:rsidR="00C80EEB" w:rsidRPr="00D17557" w:rsidRDefault="00C80EEB" w:rsidP="00C80EEB">
            <w:r w:rsidRPr="00D17557">
              <w:t xml:space="preserve">Treating (Billing) </w:t>
            </w:r>
            <w:r w:rsidR="008B3B9F" w:rsidRPr="00D17557">
              <w:t>Practitioner; Behavioral</w:t>
            </w:r>
            <w:r w:rsidRPr="00D17557">
              <w:t xml:space="preserve"> Health Care Manager (required for CoCM; optional for General BHI); Psychiatric Consultant (required for CoCM; </w:t>
            </w:r>
            <w:r w:rsidRPr="00D17557">
              <w:lastRenderedPageBreak/>
              <w:t>optional for General BHI</w:t>
            </w:r>
            <w:r w:rsidR="00DE1854" w:rsidRPr="00D17557">
              <w:t>);</w:t>
            </w:r>
            <w:r w:rsidRPr="00D17557">
              <w:t xml:space="preserve"> Clinical Staff (may be used in provision of General BHI)</w:t>
            </w:r>
          </w:p>
        </w:tc>
        <w:tc>
          <w:tcPr>
            <w:tcW w:w="3330" w:type="dxa"/>
          </w:tcPr>
          <w:p w14:paraId="70D2E734" w14:textId="52BAB044" w:rsidR="00C80EEB" w:rsidRPr="00C80EEB" w:rsidRDefault="00C80EEB" w:rsidP="00C80EEB">
            <w:r w:rsidRPr="00C80EEB">
              <w:lastRenderedPageBreak/>
              <w:t>Must use triad of providers as described by University of Washington’s AIMS Center and Centers for Medicare &amp; Medicaid Services</w:t>
            </w:r>
          </w:p>
        </w:tc>
        <w:tc>
          <w:tcPr>
            <w:tcW w:w="3330" w:type="dxa"/>
          </w:tcPr>
          <w:p w14:paraId="65FC9CEA" w14:textId="26C5FA93" w:rsidR="00C80EEB" w:rsidRPr="00331FE0" w:rsidRDefault="00C80EEB" w:rsidP="00C80EEB">
            <w:r w:rsidRPr="00331FE0">
              <w:t xml:space="preserve">PCPs must be practicing at PCMH designated practice in program year and use an evidence-based program that aligns with University of Washington AIMS Center program to integrate PCP and behavioral health.  </w:t>
            </w:r>
          </w:p>
        </w:tc>
        <w:tc>
          <w:tcPr>
            <w:tcW w:w="3330" w:type="dxa"/>
          </w:tcPr>
          <w:p w14:paraId="271CB3EC" w14:textId="7518C32D" w:rsidR="00C80EEB" w:rsidRPr="00C80EEB" w:rsidRDefault="00C80EEB" w:rsidP="00C80EEB">
            <w:r w:rsidRPr="00782794">
              <w:t>Primary care provider (PCP) working in Collaboration with a Behavioral Health Care Manager and the Psychiatric Consultant.</w:t>
            </w:r>
          </w:p>
        </w:tc>
        <w:tc>
          <w:tcPr>
            <w:tcW w:w="3695" w:type="dxa"/>
          </w:tcPr>
          <w:p w14:paraId="132F2254" w14:textId="2D914EAC" w:rsidR="00C80EEB" w:rsidRPr="00C80EEB" w:rsidRDefault="00C80EEB" w:rsidP="00C80EEB">
            <w:r w:rsidRPr="00782794">
              <w:t>Primary Care Provider or treating physician, Behavioral health care manager, Psychiatric consultant.</w:t>
            </w:r>
          </w:p>
        </w:tc>
      </w:tr>
      <w:tr w:rsidR="00C80EEB" w:rsidRPr="00C80EEB" w14:paraId="57E10318" w14:textId="77777777" w:rsidTr="004A61C0">
        <w:trPr>
          <w:trHeight w:val="773"/>
          <w:jc w:val="center"/>
        </w:trPr>
        <w:tc>
          <w:tcPr>
            <w:tcW w:w="1795" w:type="dxa"/>
          </w:tcPr>
          <w:p w14:paraId="6C07683D" w14:textId="0C360051" w:rsidR="00C80EEB" w:rsidRDefault="00C80EEB" w:rsidP="00C80EEB">
            <w:pPr>
              <w:rPr>
                <w:rFonts w:ascii="Calibri" w:hAnsi="Calibri" w:cs="Calibri"/>
                <w:b/>
                <w:bCs/>
              </w:rPr>
            </w:pPr>
            <w:r w:rsidRPr="00D17557">
              <w:rPr>
                <w:rFonts w:ascii="Calibri" w:hAnsi="Calibri" w:cs="Calibri"/>
                <w:b/>
                <w:bCs/>
              </w:rPr>
              <w:t>Psychiatric Consultant Definition</w:t>
            </w:r>
          </w:p>
        </w:tc>
        <w:tc>
          <w:tcPr>
            <w:tcW w:w="2700" w:type="dxa"/>
          </w:tcPr>
          <w:p w14:paraId="7336EE88" w14:textId="1CB2635D" w:rsidR="00C80EEB" w:rsidRPr="00D17557" w:rsidRDefault="00C80EEB" w:rsidP="00C80EEB">
            <w:r w:rsidRPr="00D17557">
              <w:t>A medical professional trained in psychiatry and qualified to prescribe the full range of medications.</w:t>
            </w:r>
          </w:p>
        </w:tc>
        <w:tc>
          <w:tcPr>
            <w:tcW w:w="3330" w:type="dxa"/>
          </w:tcPr>
          <w:p w14:paraId="1D69D9B6" w14:textId="49ED5042" w:rsidR="00C80EEB" w:rsidRPr="00C80EEB" w:rsidRDefault="00C80EEB" w:rsidP="00C80EEB">
            <w:r w:rsidRPr="00782794">
              <w:t xml:space="preserve">Aligns with </w:t>
            </w:r>
            <w:hyperlink r:id="rId9" w:history="1">
              <w:r w:rsidRPr="00782794">
                <w:rPr>
                  <w:rStyle w:val="Hyperlink"/>
                </w:rPr>
                <w:t xml:space="preserve">the Centers for Medicare and Medicaid Service’s definitions. </w:t>
              </w:r>
            </w:hyperlink>
          </w:p>
        </w:tc>
        <w:tc>
          <w:tcPr>
            <w:tcW w:w="3330" w:type="dxa"/>
          </w:tcPr>
          <w:p w14:paraId="00D1C9CD" w14:textId="28B0D42B" w:rsidR="00C80EEB" w:rsidRPr="00C80EEB" w:rsidRDefault="00C80EEB" w:rsidP="00C80EEB">
            <w:r w:rsidRPr="00782794">
              <w:t xml:space="preserve">Aligns with </w:t>
            </w:r>
            <w:hyperlink r:id="rId10" w:history="1">
              <w:r w:rsidRPr="00782794">
                <w:rPr>
                  <w:rStyle w:val="Hyperlink"/>
                </w:rPr>
                <w:t xml:space="preserve">the Centers for Medicare and Medicaid Service’s definitions. </w:t>
              </w:r>
            </w:hyperlink>
          </w:p>
        </w:tc>
        <w:tc>
          <w:tcPr>
            <w:tcW w:w="3330" w:type="dxa"/>
          </w:tcPr>
          <w:p w14:paraId="0B37772C" w14:textId="1336448C" w:rsidR="00C80EEB" w:rsidRPr="00C80EEB" w:rsidRDefault="00C80EEB" w:rsidP="00C80EEB">
            <w:r w:rsidRPr="00782794">
              <w:t xml:space="preserve">Aligns with </w:t>
            </w:r>
            <w:hyperlink r:id="rId11" w:history="1">
              <w:r w:rsidRPr="00782794">
                <w:rPr>
                  <w:rStyle w:val="Hyperlink"/>
                </w:rPr>
                <w:t xml:space="preserve">the Centers for Medicare and Medicaid Service’s definitions. </w:t>
              </w:r>
            </w:hyperlink>
          </w:p>
        </w:tc>
        <w:tc>
          <w:tcPr>
            <w:tcW w:w="3695" w:type="dxa"/>
          </w:tcPr>
          <w:p w14:paraId="69E38137" w14:textId="13345643" w:rsidR="00C80EEB" w:rsidRPr="00C80EEB" w:rsidRDefault="00C80EEB" w:rsidP="00C80EEB">
            <w:r w:rsidRPr="00782794">
              <w:t>Medical professional (MD</w:t>
            </w:r>
            <w:r w:rsidR="005723A9">
              <w:t xml:space="preserve">, </w:t>
            </w:r>
            <w:r w:rsidRPr="00782794">
              <w:t>DO</w:t>
            </w:r>
            <w:r w:rsidR="00B70872">
              <w:t xml:space="preserve"> </w:t>
            </w:r>
            <w:r w:rsidR="00B70872" w:rsidRPr="00F3257E">
              <w:rPr>
                <w:color w:val="FF0000"/>
              </w:rPr>
              <w:t>or Mental Health Nurse Practitioner [MHNP]</w:t>
            </w:r>
            <w:r w:rsidRPr="00782794">
              <w:t xml:space="preserve">) who is trained in psychiatry or behavioral health and qualified to prescribe the full range of medications. </w:t>
            </w:r>
          </w:p>
        </w:tc>
      </w:tr>
      <w:tr w:rsidR="00C80EEB" w:rsidRPr="00C80EEB" w14:paraId="5B67B965" w14:textId="77777777" w:rsidTr="004A61C0">
        <w:trPr>
          <w:trHeight w:val="773"/>
          <w:jc w:val="center"/>
        </w:trPr>
        <w:tc>
          <w:tcPr>
            <w:tcW w:w="1795" w:type="dxa"/>
          </w:tcPr>
          <w:p w14:paraId="6A31B5EC" w14:textId="04F7F9E1" w:rsidR="00C80EEB" w:rsidRDefault="00C80EEB" w:rsidP="00C80EEB">
            <w:pPr>
              <w:rPr>
                <w:rFonts w:ascii="Calibri" w:hAnsi="Calibri" w:cs="Calibri"/>
                <w:b/>
                <w:bCs/>
              </w:rPr>
            </w:pPr>
            <w:r w:rsidRPr="00D17557">
              <w:rPr>
                <w:rFonts w:ascii="Calibri" w:hAnsi="Calibri" w:cs="Calibri"/>
                <w:b/>
                <w:bCs/>
              </w:rPr>
              <w:t>Episode Definition</w:t>
            </w:r>
          </w:p>
        </w:tc>
        <w:tc>
          <w:tcPr>
            <w:tcW w:w="2700" w:type="dxa"/>
          </w:tcPr>
          <w:p w14:paraId="101D192C" w14:textId="080C6420" w:rsidR="00C80EEB" w:rsidRPr="00D17557" w:rsidRDefault="00C80EEB" w:rsidP="00C80EEB">
            <w:r w:rsidRPr="00D17557">
              <w:t>CoCM is delivered monthly for an episode of care that ends when targeted treatment goals are met or there is failure to attain targeted treatment goals culminating in referral for direct psychiatric care, or there is a break in episode (no CoCM for 6 consecutive months).</w:t>
            </w:r>
          </w:p>
        </w:tc>
        <w:tc>
          <w:tcPr>
            <w:tcW w:w="3330" w:type="dxa"/>
          </w:tcPr>
          <w:p w14:paraId="475B58D1" w14:textId="5022BA92" w:rsidR="00C80EEB" w:rsidRPr="00C80EEB" w:rsidRDefault="00C80EEB" w:rsidP="00C80EEB">
            <w:r w:rsidRPr="00782794">
              <w:t xml:space="preserve">Aligns with </w:t>
            </w:r>
            <w:hyperlink r:id="rId12" w:history="1">
              <w:r w:rsidRPr="00782794">
                <w:rPr>
                  <w:rStyle w:val="Hyperlink"/>
                </w:rPr>
                <w:t xml:space="preserve">the Centers for Medicare and Medicaid Service’s definitions. </w:t>
              </w:r>
            </w:hyperlink>
          </w:p>
        </w:tc>
        <w:tc>
          <w:tcPr>
            <w:tcW w:w="3330" w:type="dxa"/>
          </w:tcPr>
          <w:p w14:paraId="166B2DBC" w14:textId="053F3F99" w:rsidR="00C80EEB" w:rsidRPr="00C80EEB" w:rsidRDefault="00C80EEB" w:rsidP="00C80EEB">
            <w:r w:rsidRPr="00782794">
              <w:t xml:space="preserve">Aligns with </w:t>
            </w:r>
            <w:hyperlink r:id="rId13" w:history="1">
              <w:r w:rsidRPr="00782794">
                <w:rPr>
                  <w:rStyle w:val="Hyperlink"/>
                </w:rPr>
                <w:t xml:space="preserve">the Centers for Medicare and Medicaid Service’s definitions. </w:t>
              </w:r>
            </w:hyperlink>
          </w:p>
        </w:tc>
        <w:tc>
          <w:tcPr>
            <w:tcW w:w="3330" w:type="dxa"/>
          </w:tcPr>
          <w:p w14:paraId="28C636AD" w14:textId="24205423" w:rsidR="00C80EEB" w:rsidRPr="00C80EEB" w:rsidRDefault="00C80EEB" w:rsidP="00C80EEB">
            <w:r w:rsidRPr="00782794">
              <w:t xml:space="preserve">Aligns with </w:t>
            </w:r>
            <w:hyperlink r:id="rId14" w:history="1">
              <w:r w:rsidRPr="00782794">
                <w:rPr>
                  <w:rStyle w:val="Hyperlink"/>
                </w:rPr>
                <w:t xml:space="preserve">the Centers for Medicare and Medicaid Service’s definitions. </w:t>
              </w:r>
            </w:hyperlink>
          </w:p>
        </w:tc>
        <w:tc>
          <w:tcPr>
            <w:tcW w:w="3695" w:type="dxa"/>
          </w:tcPr>
          <w:p w14:paraId="572C5939" w14:textId="5CAC7214" w:rsidR="00C80EEB" w:rsidRPr="00C80EEB" w:rsidRDefault="00C80EEB" w:rsidP="00C80EEB">
            <w:r w:rsidRPr="00782794">
              <w:t>An episode of care begins when a beneficiary starts CoCM and an episode of care ends when a beneficiary either: • Fulfills treatment goals and the beneficiary returns to usual primary care follow-up, • Fails to attain treatment goals, fails to improve or their condition worsens and requires referral to specialty services, or • A break in services for six consecutive months or more occurs, at which point a new episode of care begins</w:t>
            </w:r>
          </w:p>
        </w:tc>
      </w:tr>
      <w:tr w:rsidR="00C80EEB" w:rsidRPr="00C80EEB" w14:paraId="0B1CFFB1" w14:textId="77777777" w:rsidTr="004A61C0">
        <w:trPr>
          <w:trHeight w:val="773"/>
          <w:jc w:val="center"/>
        </w:trPr>
        <w:tc>
          <w:tcPr>
            <w:tcW w:w="1795" w:type="dxa"/>
          </w:tcPr>
          <w:p w14:paraId="7E2DE072" w14:textId="41F65553" w:rsidR="00C80EEB" w:rsidRDefault="00C80EEB" w:rsidP="00C80EEB">
            <w:pPr>
              <w:rPr>
                <w:rFonts w:ascii="Calibri" w:hAnsi="Calibri" w:cs="Calibri"/>
                <w:b/>
                <w:bCs/>
              </w:rPr>
            </w:pPr>
            <w:r w:rsidRPr="00D17557">
              <w:rPr>
                <w:rFonts w:ascii="Calibri" w:hAnsi="Calibri" w:cs="Calibri"/>
                <w:b/>
                <w:bCs/>
              </w:rPr>
              <w:t>Patient Cost Share</w:t>
            </w:r>
          </w:p>
        </w:tc>
        <w:tc>
          <w:tcPr>
            <w:tcW w:w="2700" w:type="dxa"/>
          </w:tcPr>
          <w:p w14:paraId="4108789D" w14:textId="7085C792" w:rsidR="00C80EEB" w:rsidRPr="00D17557" w:rsidRDefault="00C80EEB" w:rsidP="00C80EEB">
            <w:r w:rsidRPr="00D17557">
              <w:t>Traditional Medicare FFS coverage rules apply</w:t>
            </w:r>
          </w:p>
        </w:tc>
        <w:tc>
          <w:tcPr>
            <w:tcW w:w="3330" w:type="dxa"/>
          </w:tcPr>
          <w:p w14:paraId="7D07FAF8" w14:textId="42749657" w:rsidR="00C80EEB" w:rsidRPr="00331FE0" w:rsidRDefault="00C80EEB" w:rsidP="00C80EEB">
            <w:pPr>
              <w:rPr>
                <w:color w:val="FF0000"/>
              </w:rPr>
            </w:pPr>
            <w:r w:rsidRPr="00331FE0">
              <w:rPr>
                <w:color w:val="FF0000"/>
              </w:rPr>
              <w:t xml:space="preserve">Patient liability that aligns with copays and deductibles may apply.  </w:t>
            </w:r>
          </w:p>
        </w:tc>
        <w:tc>
          <w:tcPr>
            <w:tcW w:w="3330" w:type="dxa"/>
          </w:tcPr>
          <w:p w14:paraId="7DDA0F5B" w14:textId="77777777" w:rsidR="00C80EEB" w:rsidRPr="00331FE0" w:rsidRDefault="00C80EEB" w:rsidP="00C80EEB">
            <w:r w:rsidRPr="00331FE0">
              <w:t xml:space="preserve">Copayments waived.  </w:t>
            </w:r>
          </w:p>
          <w:p w14:paraId="3633F76D" w14:textId="77777777" w:rsidR="00C80EEB" w:rsidRPr="00C80EEB" w:rsidRDefault="00C80EEB" w:rsidP="00C80EEB"/>
        </w:tc>
        <w:tc>
          <w:tcPr>
            <w:tcW w:w="3330" w:type="dxa"/>
          </w:tcPr>
          <w:p w14:paraId="55491633" w14:textId="77777777" w:rsidR="00C80EEB" w:rsidRPr="00782794" w:rsidRDefault="00C80EEB" w:rsidP="00C80EEB">
            <w:r w:rsidRPr="00782794">
              <w:t>Patient liability that aligns with copays and deductibles may apply.</w:t>
            </w:r>
          </w:p>
          <w:p w14:paraId="02A7E9D7" w14:textId="77777777" w:rsidR="00C80EEB" w:rsidRPr="00C80EEB" w:rsidRDefault="00C80EEB" w:rsidP="00C80EEB"/>
        </w:tc>
        <w:tc>
          <w:tcPr>
            <w:tcW w:w="3695" w:type="dxa"/>
          </w:tcPr>
          <w:p w14:paraId="69736AC2" w14:textId="77777777" w:rsidR="00C80EEB" w:rsidRDefault="00C80EEB" w:rsidP="00C80EEB">
            <w:r>
              <w:t>N/A</w:t>
            </w:r>
          </w:p>
          <w:p w14:paraId="4D1E7E5A" w14:textId="77777777" w:rsidR="00AF37A7" w:rsidRPr="00AF37A7" w:rsidRDefault="00AF37A7" w:rsidP="00AF37A7"/>
          <w:p w14:paraId="6D651156" w14:textId="77777777" w:rsidR="00AF37A7" w:rsidRPr="00AF37A7" w:rsidRDefault="00AF37A7" w:rsidP="00AF37A7"/>
          <w:p w14:paraId="7B60FFB1" w14:textId="77777777" w:rsidR="00AF37A7" w:rsidRDefault="00AF37A7" w:rsidP="00AF37A7"/>
          <w:p w14:paraId="7EC29D64" w14:textId="403EBB0F" w:rsidR="00AF37A7" w:rsidRPr="00AF37A7" w:rsidRDefault="00AF37A7" w:rsidP="00AF37A7"/>
        </w:tc>
      </w:tr>
      <w:tr w:rsidR="00C80EEB" w:rsidRPr="00C80EEB" w14:paraId="4A0128F4" w14:textId="77777777" w:rsidTr="004A61C0">
        <w:trPr>
          <w:trHeight w:val="773"/>
          <w:jc w:val="center"/>
        </w:trPr>
        <w:tc>
          <w:tcPr>
            <w:tcW w:w="1795" w:type="dxa"/>
          </w:tcPr>
          <w:p w14:paraId="0C6407B9" w14:textId="452D046B" w:rsidR="00C80EEB" w:rsidRDefault="00C80EEB" w:rsidP="00C80EEB">
            <w:pPr>
              <w:rPr>
                <w:rFonts w:ascii="Calibri" w:hAnsi="Calibri" w:cs="Calibri"/>
                <w:b/>
                <w:bCs/>
              </w:rPr>
            </w:pPr>
            <w:r w:rsidRPr="00D17557">
              <w:rPr>
                <w:rFonts w:ascii="Calibri" w:hAnsi="Calibri" w:cs="Calibri"/>
                <w:b/>
                <w:bCs/>
              </w:rPr>
              <w:lastRenderedPageBreak/>
              <w:t>Initiating (initial) Assessment</w:t>
            </w:r>
          </w:p>
        </w:tc>
        <w:tc>
          <w:tcPr>
            <w:tcW w:w="2700" w:type="dxa"/>
          </w:tcPr>
          <w:p w14:paraId="7488F6EE" w14:textId="4A69F560" w:rsidR="00C80EEB" w:rsidRPr="00D17557" w:rsidRDefault="00C80EEB" w:rsidP="00C80EEB">
            <w:r w:rsidRPr="00D17557">
              <w:t>Includes administration of applicable validated rating scale(s)</w:t>
            </w:r>
          </w:p>
        </w:tc>
        <w:tc>
          <w:tcPr>
            <w:tcW w:w="3330" w:type="dxa"/>
          </w:tcPr>
          <w:p w14:paraId="4576078A" w14:textId="218A7E10" w:rsidR="00C80EEB" w:rsidRPr="00C80EEB" w:rsidRDefault="00C80EEB" w:rsidP="00C80EEB">
            <w:r>
              <w:t>Required</w:t>
            </w:r>
          </w:p>
        </w:tc>
        <w:tc>
          <w:tcPr>
            <w:tcW w:w="3330" w:type="dxa"/>
          </w:tcPr>
          <w:p w14:paraId="5C0C155E" w14:textId="7D838B63" w:rsidR="00C80EEB" w:rsidRPr="00C80EEB" w:rsidRDefault="00C80EEB" w:rsidP="00C80EEB">
            <w:r>
              <w:t>Required</w:t>
            </w:r>
          </w:p>
        </w:tc>
        <w:tc>
          <w:tcPr>
            <w:tcW w:w="3330" w:type="dxa"/>
          </w:tcPr>
          <w:p w14:paraId="569CA7FD" w14:textId="38833A4B" w:rsidR="00C80EEB" w:rsidRPr="00C80EEB" w:rsidRDefault="00C80EEB" w:rsidP="00C80EEB">
            <w:r>
              <w:t>Required</w:t>
            </w:r>
          </w:p>
        </w:tc>
        <w:tc>
          <w:tcPr>
            <w:tcW w:w="3695" w:type="dxa"/>
          </w:tcPr>
          <w:p w14:paraId="52E583E1" w14:textId="40F24E65" w:rsidR="00C80EEB" w:rsidRPr="00C80EEB" w:rsidRDefault="00C80EEB" w:rsidP="00C80EEB">
            <w:r>
              <w:t>Required</w:t>
            </w:r>
          </w:p>
        </w:tc>
      </w:tr>
      <w:tr w:rsidR="00C80EEB" w:rsidRPr="00C80EEB" w14:paraId="7DD6BC60" w14:textId="77777777" w:rsidTr="004A61C0">
        <w:trPr>
          <w:trHeight w:val="773"/>
          <w:jc w:val="center"/>
        </w:trPr>
        <w:tc>
          <w:tcPr>
            <w:tcW w:w="1795" w:type="dxa"/>
          </w:tcPr>
          <w:p w14:paraId="3722A06E" w14:textId="63518563" w:rsidR="00C80EEB" w:rsidRPr="00D17557" w:rsidRDefault="00C80EEB" w:rsidP="00C80EEB">
            <w:pPr>
              <w:rPr>
                <w:rFonts w:ascii="Calibri" w:hAnsi="Calibri" w:cs="Calibri"/>
                <w:b/>
                <w:bCs/>
              </w:rPr>
            </w:pPr>
            <w:r w:rsidRPr="00D17557">
              <w:rPr>
                <w:rFonts w:ascii="Calibri" w:hAnsi="Calibri" w:cs="Calibri"/>
                <w:b/>
                <w:bCs/>
              </w:rPr>
              <w:t>Prior Auth.</w:t>
            </w:r>
          </w:p>
        </w:tc>
        <w:tc>
          <w:tcPr>
            <w:tcW w:w="2700" w:type="dxa"/>
          </w:tcPr>
          <w:p w14:paraId="46715AE7" w14:textId="730CE645" w:rsidR="00C80EEB" w:rsidRPr="00D17557" w:rsidRDefault="00C80EEB" w:rsidP="00C80EEB">
            <w:r>
              <w:t>N/A</w:t>
            </w:r>
          </w:p>
        </w:tc>
        <w:tc>
          <w:tcPr>
            <w:tcW w:w="3330" w:type="dxa"/>
          </w:tcPr>
          <w:p w14:paraId="05B91994" w14:textId="5DBF5288" w:rsidR="00C80EEB" w:rsidRPr="00C80EEB" w:rsidRDefault="00C80EEB" w:rsidP="00C80EEB">
            <w:r w:rsidRPr="00782794">
              <w:t>Not required. Medicaid has different rules.</w:t>
            </w:r>
          </w:p>
        </w:tc>
        <w:tc>
          <w:tcPr>
            <w:tcW w:w="3330" w:type="dxa"/>
          </w:tcPr>
          <w:p w14:paraId="2916E516" w14:textId="0249F274" w:rsidR="00C80EEB" w:rsidRPr="00C80EEB" w:rsidRDefault="00C80EEB" w:rsidP="00C80EEB">
            <w:r>
              <w:t>Not Required</w:t>
            </w:r>
          </w:p>
        </w:tc>
        <w:tc>
          <w:tcPr>
            <w:tcW w:w="3330" w:type="dxa"/>
          </w:tcPr>
          <w:p w14:paraId="6E5F37CF" w14:textId="3869C8A6" w:rsidR="00C80EEB" w:rsidRPr="00C80EEB" w:rsidRDefault="00C80EEB" w:rsidP="00C80EEB">
            <w:r>
              <w:t>Not Required</w:t>
            </w:r>
          </w:p>
        </w:tc>
        <w:tc>
          <w:tcPr>
            <w:tcW w:w="3695" w:type="dxa"/>
          </w:tcPr>
          <w:p w14:paraId="55ECF097" w14:textId="6EF35A0A" w:rsidR="00876E02" w:rsidRPr="00876E02" w:rsidRDefault="0062223E" w:rsidP="00C80EEB">
            <w:pPr>
              <w:rPr>
                <w:color w:val="00B050"/>
              </w:rPr>
            </w:pPr>
            <w:r w:rsidRPr="00F3257E">
              <w:rPr>
                <w:color w:val="FF0000"/>
              </w:rPr>
              <w:t xml:space="preserve">After the initial 12 months, prior authorization is required for 12 additional calendar months if the beneficiary </w:t>
            </w:r>
            <w:r w:rsidR="00733D21" w:rsidRPr="00F3257E">
              <w:rPr>
                <w:color w:val="FF0000"/>
              </w:rPr>
              <w:t xml:space="preserve">shows improvement and there is a need for continued care.  </w:t>
            </w:r>
          </w:p>
        </w:tc>
      </w:tr>
      <w:tr w:rsidR="00C80EEB" w:rsidRPr="00C80EEB" w14:paraId="0241145E" w14:textId="77777777" w:rsidTr="004A61C0">
        <w:trPr>
          <w:trHeight w:val="773"/>
          <w:jc w:val="center"/>
        </w:trPr>
        <w:tc>
          <w:tcPr>
            <w:tcW w:w="1795" w:type="dxa"/>
          </w:tcPr>
          <w:p w14:paraId="09790BC0" w14:textId="7A6AAFC1" w:rsidR="00C80EEB" w:rsidRPr="00D17557" w:rsidRDefault="00C80EEB" w:rsidP="00C80EEB">
            <w:pPr>
              <w:rPr>
                <w:rFonts w:ascii="Calibri" w:hAnsi="Calibri" w:cs="Calibri"/>
                <w:b/>
                <w:bCs/>
              </w:rPr>
            </w:pPr>
            <w:r w:rsidRPr="00D17557">
              <w:rPr>
                <w:rFonts w:ascii="Calibri" w:hAnsi="Calibri" w:cs="Calibri"/>
                <w:b/>
                <w:bCs/>
              </w:rPr>
              <w:t>Plan of Care Documentation</w:t>
            </w:r>
          </w:p>
        </w:tc>
        <w:tc>
          <w:tcPr>
            <w:tcW w:w="2700" w:type="dxa"/>
          </w:tcPr>
          <w:p w14:paraId="03C486EA" w14:textId="45EF1E12" w:rsidR="00C80EEB" w:rsidRPr="00D17557" w:rsidRDefault="00C80EEB" w:rsidP="00C80EEB">
            <w:r w:rsidRPr="00D17557">
              <w:t>Appropriate documentation required-</w:t>
            </w:r>
          </w:p>
        </w:tc>
        <w:tc>
          <w:tcPr>
            <w:tcW w:w="3330" w:type="dxa"/>
          </w:tcPr>
          <w:p w14:paraId="25788165" w14:textId="06F42311" w:rsidR="00C80EEB" w:rsidRPr="00C80EEB" w:rsidRDefault="00C80EEB" w:rsidP="00C80EEB">
            <w:r>
              <w:t>Required</w:t>
            </w:r>
          </w:p>
        </w:tc>
        <w:tc>
          <w:tcPr>
            <w:tcW w:w="3330" w:type="dxa"/>
          </w:tcPr>
          <w:p w14:paraId="1B08D6FC" w14:textId="5AEED442" w:rsidR="00C80EEB" w:rsidRPr="00C80EEB" w:rsidRDefault="00C80EEB" w:rsidP="00C80EEB">
            <w:r>
              <w:t>Required</w:t>
            </w:r>
          </w:p>
        </w:tc>
        <w:tc>
          <w:tcPr>
            <w:tcW w:w="3330" w:type="dxa"/>
          </w:tcPr>
          <w:p w14:paraId="3D2C4C7A" w14:textId="2501F7F1" w:rsidR="00C80EEB" w:rsidRPr="00C80EEB" w:rsidRDefault="00C80EEB" w:rsidP="00C80EEB">
            <w:r>
              <w:t>Required</w:t>
            </w:r>
          </w:p>
        </w:tc>
        <w:tc>
          <w:tcPr>
            <w:tcW w:w="3695" w:type="dxa"/>
          </w:tcPr>
          <w:p w14:paraId="677EB05F" w14:textId="66E5D438" w:rsidR="00C80EEB" w:rsidRPr="00C80EEB" w:rsidRDefault="00C80EEB" w:rsidP="00C80EEB">
            <w:r>
              <w:t>Required</w:t>
            </w:r>
          </w:p>
        </w:tc>
      </w:tr>
      <w:tr w:rsidR="00C80EEB" w:rsidRPr="00C80EEB" w14:paraId="1E9D3FEC" w14:textId="77777777" w:rsidTr="004A61C0">
        <w:trPr>
          <w:trHeight w:val="773"/>
          <w:jc w:val="center"/>
        </w:trPr>
        <w:tc>
          <w:tcPr>
            <w:tcW w:w="1795" w:type="dxa"/>
          </w:tcPr>
          <w:p w14:paraId="36DB2856" w14:textId="4CA55EFB" w:rsidR="00C80EEB" w:rsidRPr="00D17557" w:rsidRDefault="00C80EEB" w:rsidP="00C80EEB">
            <w:pPr>
              <w:rPr>
                <w:rFonts w:ascii="Calibri" w:hAnsi="Calibri" w:cs="Calibri"/>
                <w:b/>
                <w:bCs/>
              </w:rPr>
            </w:pPr>
            <w:r>
              <w:rPr>
                <w:rFonts w:ascii="Calibri" w:hAnsi="Calibri" w:cs="Calibri"/>
                <w:b/>
                <w:bCs/>
              </w:rPr>
              <w:t>Required Services</w:t>
            </w:r>
          </w:p>
        </w:tc>
        <w:tc>
          <w:tcPr>
            <w:tcW w:w="2700" w:type="dxa"/>
          </w:tcPr>
          <w:p w14:paraId="10A7349A" w14:textId="6D9FEEE5" w:rsidR="00C80EEB" w:rsidRPr="00D17557" w:rsidRDefault="00C80EEB" w:rsidP="00C80EEB">
            <w:pPr>
              <w:rPr>
                <w:i/>
                <w:iCs/>
              </w:rPr>
            </w:pPr>
            <w:r w:rsidRPr="00D17557">
              <w:rPr>
                <w:i/>
                <w:iCs/>
              </w:rPr>
              <w:t>Please see Appendix at end of grid for detail on codes 99492-99494 and G2214</w:t>
            </w:r>
          </w:p>
        </w:tc>
        <w:tc>
          <w:tcPr>
            <w:tcW w:w="3330" w:type="dxa"/>
          </w:tcPr>
          <w:p w14:paraId="7999A4C0" w14:textId="3BFCF3BF" w:rsidR="00C80EEB" w:rsidRPr="00C80EEB" w:rsidRDefault="00C80EEB" w:rsidP="00C80EEB">
            <w:r w:rsidRPr="00C80EEB">
              <w:t>Aligns with the Centers for Medicare and Medicaid Service.</w:t>
            </w:r>
          </w:p>
        </w:tc>
        <w:tc>
          <w:tcPr>
            <w:tcW w:w="3330" w:type="dxa"/>
          </w:tcPr>
          <w:p w14:paraId="16524B6B" w14:textId="47A691B8" w:rsidR="00C80EEB" w:rsidRPr="00C80EEB" w:rsidRDefault="00C80EEB" w:rsidP="00C80EEB">
            <w:r w:rsidRPr="00782794">
              <w:t xml:space="preserve">Aligns with </w:t>
            </w:r>
            <w:hyperlink r:id="rId15" w:history="1">
              <w:r w:rsidRPr="00782794">
                <w:rPr>
                  <w:rStyle w:val="Hyperlink"/>
                </w:rPr>
                <w:t xml:space="preserve">the Centers for Medicare and Medicaid Service. </w:t>
              </w:r>
            </w:hyperlink>
          </w:p>
        </w:tc>
        <w:tc>
          <w:tcPr>
            <w:tcW w:w="3330" w:type="dxa"/>
          </w:tcPr>
          <w:p w14:paraId="6E241079" w14:textId="2D875A6B" w:rsidR="00C80EEB" w:rsidRPr="00C80EEB" w:rsidRDefault="00C80EEB" w:rsidP="00C80EEB">
            <w:r w:rsidRPr="00782794">
              <w:t xml:space="preserve">Aligns with </w:t>
            </w:r>
            <w:hyperlink r:id="rId16" w:history="1">
              <w:r w:rsidRPr="00782794">
                <w:rPr>
                  <w:rStyle w:val="Hyperlink"/>
                </w:rPr>
                <w:t xml:space="preserve">the Centers for Medicare and Medicaid Service. </w:t>
              </w:r>
            </w:hyperlink>
          </w:p>
        </w:tc>
        <w:tc>
          <w:tcPr>
            <w:tcW w:w="3695" w:type="dxa"/>
          </w:tcPr>
          <w:p w14:paraId="7898F288" w14:textId="254E6E99" w:rsidR="00C80EEB" w:rsidRPr="00C80EEB" w:rsidRDefault="00C80EEB" w:rsidP="00C80EEB">
            <w:r w:rsidRPr="00782794">
              <w:t xml:space="preserve">Initial assessment continued monitoring and monthly monitoring.  </w:t>
            </w:r>
          </w:p>
        </w:tc>
      </w:tr>
      <w:bookmarkEnd w:id="0"/>
    </w:tbl>
    <w:p w14:paraId="28EEB8C4" w14:textId="77777777" w:rsidR="00535EF1" w:rsidRPr="00782794" w:rsidRDefault="00535EF1" w:rsidP="00535EF1"/>
    <w:p w14:paraId="5700632E" w14:textId="405DF913" w:rsidR="00AA4E57" w:rsidRDefault="00535EF1" w:rsidP="00535EF1">
      <w:r w:rsidRPr="00782794">
        <w:t xml:space="preserve">*MDHHS policy represents the minimum that Medicaid Health Plans must provide.  Individual MHPs may offer more generous </w:t>
      </w:r>
      <w:r w:rsidR="00DE1854" w:rsidRPr="00782794">
        <w:t>policies but</w:t>
      </w:r>
      <w:r w:rsidRPr="00782794">
        <w:t xml:space="preserve"> may n</w:t>
      </w:r>
      <w:r>
        <w:t xml:space="preserve">ot be less generous in benefit coverage.  </w:t>
      </w:r>
    </w:p>
    <w:p w14:paraId="28107763" w14:textId="66FDFCEA" w:rsidR="006F4429" w:rsidRPr="00A02287" w:rsidRDefault="006F4429">
      <w:pPr>
        <w:rPr>
          <w:b/>
          <w:bCs/>
        </w:rPr>
      </w:pPr>
      <w:r w:rsidRPr="00A02287">
        <w:rPr>
          <w:b/>
          <w:bCs/>
        </w:rPr>
        <w:t xml:space="preserve">If you represent a plan or payer and have additional information to share about </w:t>
      </w:r>
      <w:r w:rsidR="00A02287">
        <w:rPr>
          <w:b/>
          <w:bCs/>
        </w:rPr>
        <w:t>collaborative care</w:t>
      </w:r>
      <w:r w:rsidRPr="00A02287">
        <w:rPr>
          <w:b/>
          <w:bCs/>
        </w:rPr>
        <w:t xml:space="preserve"> policy updates, please contact </w:t>
      </w:r>
      <w:hyperlink r:id="rId17" w:history="1">
        <w:r w:rsidRPr="00A02287">
          <w:rPr>
            <w:rStyle w:val="Hyperlink"/>
            <w:b/>
            <w:bCs/>
          </w:rPr>
          <w:t>multipayerprimcare@med.umich.edu</w:t>
        </w:r>
      </w:hyperlink>
      <w:r w:rsidRPr="00A02287">
        <w:rPr>
          <w:b/>
          <w:bCs/>
        </w:rPr>
        <w:t xml:space="preserve">. </w:t>
      </w:r>
    </w:p>
    <w:p w14:paraId="1832A5F6" w14:textId="1B3E1D9B" w:rsidR="00073ABD" w:rsidRDefault="006F4429">
      <w:r>
        <w:t xml:space="preserve"> </w:t>
      </w:r>
    </w:p>
    <w:p w14:paraId="2F74049B" w14:textId="77777777" w:rsidR="00A67303" w:rsidRDefault="00A67303">
      <w:r>
        <w:br w:type="page"/>
      </w:r>
    </w:p>
    <w:p w14:paraId="6AD7925A" w14:textId="77777777" w:rsidR="007F3603" w:rsidRDefault="00073ABD" w:rsidP="008B3B9F">
      <w:pPr>
        <w:jc w:val="center"/>
        <w:rPr>
          <w:sz w:val="28"/>
          <w:szCs w:val="28"/>
        </w:rPr>
      </w:pPr>
      <w:r w:rsidRPr="00782794">
        <w:rPr>
          <w:b/>
          <w:bCs/>
          <w:sz w:val="28"/>
          <w:szCs w:val="28"/>
        </w:rPr>
        <w:lastRenderedPageBreak/>
        <w:t>APPENDIX</w:t>
      </w:r>
      <w:r w:rsidR="00D01A9E" w:rsidRPr="00782794">
        <w:rPr>
          <w:b/>
          <w:bCs/>
          <w:sz w:val="28"/>
          <w:szCs w:val="28"/>
        </w:rPr>
        <w:t xml:space="preserve">: </w:t>
      </w:r>
      <w:r w:rsidR="00D8246E" w:rsidRPr="00782794">
        <w:rPr>
          <w:b/>
          <w:bCs/>
          <w:sz w:val="28"/>
          <w:szCs w:val="28"/>
        </w:rPr>
        <w:t xml:space="preserve">Abstracted from </w:t>
      </w:r>
      <w:hyperlink r:id="rId18" w:history="1">
        <w:r w:rsidR="00184F42" w:rsidRPr="00184F42">
          <w:rPr>
            <w:rStyle w:val="Hyperlink"/>
            <w:sz w:val="28"/>
            <w:szCs w:val="28"/>
          </w:rPr>
          <w:t>MLN Behavioral Integration Services - MLN909432 August 2024</w:t>
        </w:r>
      </w:hyperlink>
    </w:p>
    <w:p w14:paraId="5A8CB3F0" w14:textId="77777777" w:rsidR="007F3603" w:rsidRDefault="007F3603" w:rsidP="008B3B9F">
      <w:pPr>
        <w:jc w:val="center"/>
        <w:rPr>
          <w:sz w:val="28"/>
          <w:szCs w:val="28"/>
        </w:rPr>
      </w:pPr>
    </w:p>
    <w:p w14:paraId="5E92FDE6" w14:textId="77777777" w:rsidR="007F3603" w:rsidRDefault="007F3603" w:rsidP="00714E5C">
      <w:pPr>
        <w:jc w:val="center"/>
      </w:pPr>
      <w:r w:rsidRPr="007F3603">
        <w:rPr>
          <w:b/>
          <w:bCs/>
          <w:noProof/>
          <w:sz w:val="28"/>
          <w:szCs w:val="28"/>
        </w:rPr>
        <w:drawing>
          <wp:inline distT="0" distB="0" distL="0" distR="0" wp14:anchorId="48916EE5" wp14:editId="3FA9C886">
            <wp:extent cx="10197581" cy="5657316"/>
            <wp:effectExtent l="0" t="0" r="0" b="635"/>
            <wp:docPr id="2002736146" name="Picture 1"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36146" name="Picture 1" descr="A close-up of a diagram&#10;&#10;AI-generated content may be incorrect."/>
                    <pic:cNvPicPr/>
                  </pic:nvPicPr>
                  <pic:blipFill>
                    <a:blip r:embed="rId19"/>
                    <a:stretch>
                      <a:fillRect/>
                    </a:stretch>
                  </pic:blipFill>
                  <pic:spPr>
                    <a:xfrm>
                      <a:off x="0" y="0"/>
                      <a:ext cx="10214911" cy="5666930"/>
                    </a:xfrm>
                    <a:prstGeom prst="rect">
                      <a:avLst/>
                    </a:prstGeom>
                  </pic:spPr>
                </pic:pic>
              </a:graphicData>
            </a:graphic>
          </wp:inline>
        </w:drawing>
      </w:r>
    </w:p>
    <w:p w14:paraId="70E7F2CC" w14:textId="1CA9199B" w:rsidR="00073ABD" w:rsidRDefault="004A1FB9" w:rsidP="00714E5C">
      <w:pPr>
        <w:jc w:val="center"/>
        <w:rPr>
          <w:highlight w:val="yellow"/>
        </w:rPr>
      </w:pPr>
      <w:r w:rsidRPr="00782794">
        <w:rPr>
          <w:b/>
          <w:bCs/>
          <w:sz w:val="28"/>
          <w:szCs w:val="28"/>
        </w:rPr>
        <w:lastRenderedPageBreak/>
        <w:br/>
      </w:r>
      <w:r w:rsidR="007F3603" w:rsidRPr="007F3603">
        <w:rPr>
          <w:noProof/>
        </w:rPr>
        <w:drawing>
          <wp:inline distT="0" distB="0" distL="0" distR="0" wp14:anchorId="1E480CAD" wp14:editId="07785364">
            <wp:extent cx="10059991" cy="6067514"/>
            <wp:effectExtent l="0" t="0" r="0" b="0"/>
            <wp:docPr id="758905052" name="Picture 1" descr="A screenshot of a medical health care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05052" name="Picture 1" descr="A screenshot of a medical health care program&#10;&#10;AI-generated content may be incorrect."/>
                    <pic:cNvPicPr/>
                  </pic:nvPicPr>
                  <pic:blipFill>
                    <a:blip r:embed="rId20"/>
                    <a:stretch>
                      <a:fillRect/>
                    </a:stretch>
                  </pic:blipFill>
                  <pic:spPr>
                    <a:xfrm>
                      <a:off x="0" y="0"/>
                      <a:ext cx="10076146" cy="6077257"/>
                    </a:xfrm>
                    <a:prstGeom prst="rect">
                      <a:avLst/>
                    </a:prstGeom>
                  </pic:spPr>
                </pic:pic>
              </a:graphicData>
            </a:graphic>
          </wp:inline>
        </w:drawing>
      </w:r>
    </w:p>
    <w:p w14:paraId="52CC8081" w14:textId="387B9BF8" w:rsidR="007F3603" w:rsidRDefault="007F3603" w:rsidP="00714E5C">
      <w:pPr>
        <w:jc w:val="center"/>
        <w:rPr>
          <w:highlight w:val="yellow"/>
        </w:rPr>
      </w:pPr>
      <w:r w:rsidRPr="007F3603">
        <w:rPr>
          <w:noProof/>
        </w:rPr>
        <w:lastRenderedPageBreak/>
        <w:drawing>
          <wp:inline distT="0" distB="0" distL="0" distR="0" wp14:anchorId="791B4F09" wp14:editId="3D60586E">
            <wp:extent cx="10402004" cy="4264351"/>
            <wp:effectExtent l="0" t="0" r="0" b="3175"/>
            <wp:docPr id="1206970349" name="Picture 1" descr="A white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970349" name="Picture 1" descr="A white background with blue text&#10;&#10;AI-generated content may be incorrect."/>
                    <pic:cNvPicPr/>
                  </pic:nvPicPr>
                  <pic:blipFill>
                    <a:blip r:embed="rId21"/>
                    <a:stretch>
                      <a:fillRect/>
                    </a:stretch>
                  </pic:blipFill>
                  <pic:spPr>
                    <a:xfrm>
                      <a:off x="0" y="0"/>
                      <a:ext cx="10422683" cy="4272829"/>
                    </a:xfrm>
                    <a:prstGeom prst="rect">
                      <a:avLst/>
                    </a:prstGeom>
                  </pic:spPr>
                </pic:pic>
              </a:graphicData>
            </a:graphic>
          </wp:inline>
        </w:drawing>
      </w:r>
    </w:p>
    <w:p w14:paraId="492C96AB" w14:textId="77777777" w:rsidR="00714E5C" w:rsidRDefault="00714E5C" w:rsidP="00714E5C">
      <w:pPr>
        <w:jc w:val="center"/>
        <w:rPr>
          <w:highlight w:val="yellow"/>
        </w:rPr>
      </w:pPr>
    </w:p>
    <w:p w14:paraId="78571939" w14:textId="76133AC2" w:rsidR="00714E5C" w:rsidRDefault="00714E5C" w:rsidP="00714E5C">
      <w:pPr>
        <w:jc w:val="center"/>
        <w:rPr>
          <w:highlight w:val="yellow"/>
        </w:rPr>
      </w:pPr>
      <w:r w:rsidRPr="00714E5C">
        <w:rPr>
          <w:noProof/>
        </w:rPr>
        <w:drawing>
          <wp:inline distT="0" distB="0" distL="0" distR="0" wp14:anchorId="5AC20DC0" wp14:editId="790F373B">
            <wp:extent cx="9841793" cy="1146947"/>
            <wp:effectExtent l="0" t="0" r="7620" b="0"/>
            <wp:docPr id="37351008" name="Picture 1" descr="A yellow rectangular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1008" name="Picture 1" descr="A yellow rectangular sign with black text&#10;&#10;AI-generated content may be incorrect."/>
                    <pic:cNvPicPr/>
                  </pic:nvPicPr>
                  <pic:blipFill rotWithShape="1">
                    <a:blip r:embed="rId22"/>
                    <a:srcRect t="11242"/>
                    <a:stretch/>
                  </pic:blipFill>
                  <pic:spPr bwMode="auto">
                    <a:xfrm>
                      <a:off x="0" y="0"/>
                      <a:ext cx="9989158" cy="1164121"/>
                    </a:xfrm>
                    <a:prstGeom prst="rect">
                      <a:avLst/>
                    </a:prstGeom>
                    <a:ln>
                      <a:noFill/>
                    </a:ln>
                    <a:extLst>
                      <a:ext uri="{53640926-AAD7-44D8-BBD7-CCE9431645EC}">
                        <a14:shadowObscured xmlns:a14="http://schemas.microsoft.com/office/drawing/2010/main"/>
                      </a:ext>
                    </a:extLst>
                  </pic:spPr>
                </pic:pic>
              </a:graphicData>
            </a:graphic>
          </wp:inline>
        </w:drawing>
      </w:r>
    </w:p>
    <w:p w14:paraId="3F42416A" w14:textId="0C287C77" w:rsidR="007F3603" w:rsidRDefault="007F3603" w:rsidP="00714E5C">
      <w:pPr>
        <w:jc w:val="center"/>
        <w:rPr>
          <w:highlight w:val="yellow"/>
        </w:rPr>
      </w:pPr>
      <w:r w:rsidRPr="007F3603">
        <w:rPr>
          <w:noProof/>
        </w:rPr>
        <w:lastRenderedPageBreak/>
        <w:drawing>
          <wp:inline distT="0" distB="0" distL="0" distR="0" wp14:anchorId="083BA9FD" wp14:editId="2A8030E5">
            <wp:extent cx="8255237" cy="6500629"/>
            <wp:effectExtent l="0" t="0" r="0" b="0"/>
            <wp:docPr id="767055194" name="Picture 1" descr="A screenshot of a medical ser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055194" name="Picture 1" descr="A screenshot of a medical service&#10;&#10;AI-generated content may be incorrect."/>
                    <pic:cNvPicPr/>
                  </pic:nvPicPr>
                  <pic:blipFill rotWithShape="1">
                    <a:blip r:embed="rId23"/>
                    <a:srcRect b="10581"/>
                    <a:stretch/>
                  </pic:blipFill>
                  <pic:spPr bwMode="auto">
                    <a:xfrm>
                      <a:off x="0" y="0"/>
                      <a:ext cx="8280367" cy="6520418"/>
                    </a:xfrm>
                    <a:prstGeom prst="rect">
                      <a:avLst/>
                    </a:prstGeom>
                    <a:ln>
                      <a:noFill/>
                    </a:ln>
                    <a:extLst>
                      <a:ext uri="{53640926-AAD7-44D8-BBD7-CCE9431645EC}">
                        <a14:shadowObscured xmlns:a14="http://schemas.microsoft.com/office/drawing/2010/main"/>
                      </a:ext>
                    </a:extLst>
                  </pic:spPr>
                </pic:pic>
              </a:graphicData>
            </a:graphic>
          </wp:inline>
        </w:drawing>
      </w:r>
    </w:p>
    <w:p w14:paraId="155F5623" w14:textId="0825DC9F" w:rsidR="007F3603" w:rsidRDefault="007F3603" w:rsidP="00714E5C">
      <w:pPr>
        <w:jc w:val="center"/>
        <w:rPr>
          <w:highlight w:val="yellow"/>
        </w:rPr>
      </w:pPr>
      <w:r w:rsidRPr="007F3603">
        <w:rPr>
          <w:noProof/>
        </w:rPr>
        <w:lastRenderedPageBreak/>
        <w:drawing>
          <wp:inline distT="0" distB="0" distL="0" distR="0" wp14:anchorId="2F8D641A" wp14:editId="20E5E87D">
            <wp:extent cx="7263925" cy="6517696"/>
            <wp:effectExtent l="0" t="0" r="0" b="0"/>
            <wp:docPr id="561327036" name="Picture 1" descr="A screenshot of a medical b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327036" name="Picture 1" descr="A screenshot of a medical bill&#10;&#10;AI-generated content may be incorrect."/>
                    <pic:cNvPicPr/>
                  </pic:nvPicPr>
                  <pic:blipFill>
                    <a:blip r:embed="rId24"/>
                    <a:stretch>
                      <a:fillRect/>
                    </a:stretch>
                  </pic:blipFill>
                  <pic:spPr>
                    <a:xfrm>
                      <a:off x="0" y="0"/>
                      <a:ext cx="7273255" cy="6526068"/>
                    </a:xfrm>
                    <a:prstGeom prst="rect">
                      <a:avLst/>
                    </a:prstGeom>
                  </pic:spPr>
                </pic:pic>
              </a:graphicData>
            </a:graphic>
          </wp:inline>
        </w:drawing>
      </w:r>
    </w:p>
    <w:p w14:paraId="5F62FDF6" w14:textId="0EBF7319" w:rsidR="007F3603" w:rsidRDefault="007F3603" w:rsidP="00714E5C">
      <w:pPr>
        <w:jc w:val="center"/>
        <w:rPr>
          <w:highlight w:val="yellow"/>
        </w:rPr>
      </w:pPr>
      <w:r w:rsidRPr="007F3603">
        <w:rPr>
          <w:noProof/>
        </w:rPr>
        <w:lastRenderedPageBreak/>
        <w:drawing>
          <wp:inline distT="0" distB="0" distL="0" distR="0" wp14:anchorId="61AF3DAD" wp14:editId="7B27EF20">
            <wp:extent cx="7067372" cy="6600486"/>
            <wp:effectExtent l="0" t="0" r="635" b="0"/>
            <wp:docPr id="1751648004" name="Picture 1" descr="A list of information on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648004" name="Picture 1" descr="A list of information on a computer&#10;&#10;AI-generated content may be incorrect."/>
                    <pic:cNvPicPr/>
                  </pic:nvPicPr>
                  <pic:blipFill>
                    <a:blip r:embed="rId25"/>
                    <a:stretch>
                      <a:fillRect/>
                    </a:stretch>
                  </pic:blipFill>
                  <pic:spPr>
                    <a:xfrm>
                      <a:off x="0" y="0"/>
                      <a:ext cx="7093275" cy="6624677"/>
                    </a:xfrm>
                    <a:prstGeom prst="rect">
                      <a:avLst/>
                    </a:prstGeom>
                  </pic:spPr>
                </pic:pic>
              </a:graphicData>
            </a:graphic>
          </wp:inline>
        </w:drawing>
      </w:r>
    </w:p>
    <w:p w14:paraId="2E791ABD" w14:textId="06D9C99A" w:rsidR="007F3603" w:rsidRDefault="007F3603" w:rsidP="00714E5C">
      <w:pPr>
        <w:jc w:val="center"/>
        <w:rPr>
          <w:highlight w:val="yellow"/>
        </w:rPr>
      </w:pPr>
      <w:r w:rsidRPr="007F3603">
        <w:rPr>
          <w:noProof/>
        </w:rPr>
        <w:lastRenderedPageBreak/>
        <w:drawing>
          <wp:inline distT="0" distB="0" distL="0" distR="0" wp14:anchorId="6C17D602" wp14:editId="5B89554E">
            <wp:extent cx="8024501" cy="6931189"/>
            <wp:effectExtent l="0" t="0" r="0" b="3175"/>
            <wp:docPr id="893731164" name="Picture 1" descr="A medical staff schedul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731164" name="Picture 1" descr="A medical staff schedule with text&#10;&#10;AI-generated content may be incorrect."/>
                    <pic:cNvPicPr/>
                  </pic:nvPicPr>
                  <pic:blipFill>
                    <a:blip r:embed="rId26"/>
                    <a:stretch>
                      <a:fillRect/>
                    </a:stretch>
                  </pic:blipFill>
                  <pic:spPr>
                    <a:xfrm>
                      <a:off x="0" y="0"/>
                      <a:ext cx="8031395" cy="6937144"/>
                    </a:xfrm>
                    <a:prstGeom prst="rect">
                      <a:avLst/>
                    </a:prstGeom>
                  </pic:spPr>
                </pic:pic>
              </a:graphicData>
            </a:graphic>
          </wp:inline>
        </w:drawing>
      </w:r>
    </w:p>
    <w:p w14:paraId="037A29E3" w14:textId="77777777" w:rsidR="007F3603" w:rsidRDefault="007F3603" w:rsidP="007F3603">
      <w:pPr>
        <w:rPr>
          <w:highlight w:val="yellow"/>
        </w:rPr>
      </w:pPr>
    </w:p>
    <w:p w14:paraId="12C4AA0C" w14:textId="5316197E" w:rsidR="007F3603" w:rsidRDefault="007F3603" w:rsidP="00714E5C">
      <w:pPr>
        <w:jc w:val="center"/>
        <w:rPr>
          <w:highlight w:val="yellow"/>
        </w:rPr>
      </w:pPr>
      <w:r w:rsidRPr="007F3603">
        <w:rPr>
          <w:noProof/>
        </w:rPr>
        <w:drawing>
          <wp:inline distT="0" distB="0" distL="0" distR="0" wp14:anchorId="11DCCB72" wp14:editId="743274A6">
            <wp:extent cx="6477712" cy="5828254"/>
            <wp:effectExtent l="0" t="0" r="0" b="1270"/>
            <wp:docPr id="71160223" name="Picture 1" descr="A medical report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0223" name="Picture 1" descr="A medical report with numbers and text&#10;&#10;AI-generated content may be incorrect."/>
                    <pic:cNvPicPr/>
                  </pic:nvPicPr>
                  <pic:blipFill>
                    <a:blip r:embed="rId27"/>
                    <a:stretch>
                      <a:fillRect/>
                    </a:stretch>
                  </pic:blipFill>
                  <pic:spPr>
                    <a:xfrm>
                      <a:off x="0" y="0"/>
                      <a:ext cx="6485539" cy="5835296"/>
                    </a:xfrm>
                    <a:prstGeom prst="rect">
                      <a:avLst/>
                    </a:prstGeom>
                  </pic:spPr>
                </pic:pic>
              </a:graphicData>
            </a:graphic>
          </wp:inline>
        </w:drawing>
      </w:r>
    </w:p>
    <w:p w14:paraId="5E4FBD69" w14:textId="3E4B8606" w:rsidR="007F3603" w:rsidRDefault="007F3603" w:rsidP="00714E5C">
      <w:pPr>
        <w:jc w:val="center"/>
        <w:rPr>
          <w:highlight w:val="yellow"/>
        </w:rPr>
      </w:pPr>
      <w:r w:rsidRPr="007F3603">
        <w:rPr>
          <w:noProof/>
        </w:rPr>
        <w:lastRenderedPageBreak/>
        <w:drawing>
          <wp:inline distT="0" distB="0" distL="0" distR="0" wp14:anchorId="72615870" wp14:editId="3A8BB238">
            <wp:extent cx="7093009" cy="6656808"/>
            <wp:effectExtent l="0" t="0" r="0" b="0"/>
            <wp:docPr id="696289040" name="Picture 1" descr="A medical report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289040" name="Picture 1" descr="A medical report with blue text&#10;&#10;AI-generated content may be incorrect."/>
                    <pic:cNvPicPr/>
                  </pic:nvPicPr>
                  <pic:blipFill>
                    <a:blip r:embed="rId28"/>
                    <a:stretch>
                      <a:fillRect/>
                    </a:stretch>
                  </pic:blipFill>
                  <pic:spPr>
                    <a:xfrm>
                      <a:off x="0" y="0"/>
                      <a:ext cx="7107732" cy="6670625"/>
                    </a:xfrm>
                    <a:prstGeom prst="rect">
                      <a:avLst/>
                    </a:prstGeom>
                  </pic:spPr>
                </pic:pic>
              </a:graphicData>
            </a:graphic>
          </wp:inline>
        </w:drawing>
      </w:r>
    </w:p>
    <w:p w14:paraId="57DDAD4A" w14:textId="556A2E50" w:rsidR="007F3603" w:rsidRDefault="007F3603" w:rsidP="00714E5C">
      <w:pPr>
        <w:jc w:val="center"/>
        <w:rPr>
          <w:highlight w:val="yellow"/>
        </w:rPr>
      </w:pPr>
      <w:r w:rsidRPr="007F3603">
        <w:rPr>
          <w:noProof/>
        </w:rPr>
        <w:lastRenderedPageBreak/>
        <w:drawing>
          <wp:inline distT="0" distB="0" distL="0" distR="0" wp14:anchorId="657F9A03" wp14:editId="580222ED">
            <wp:extent cx="8504609" cy="5640224"/>
            <wp:effectExtent l="0" t="0" r="0" b="0"/>
            <wp:docPr id="1233738880" name="Picture 1" descr="A screenshot of a medical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738880" name="Picture 1" descr="A screenshot of a medical document&#10;&#10;AI-generated content may be incorrect."/>
                    <pic:cNvPicPr/>
                  </pic:nvPicPr>
                  <pic:blipFill rotWithShape="1">
                    <a:blip r:embed="rId29"/>
                    <a:srcRect b="9478"/>
                    <a:stretch/>
                  </pic:blipFill>
                  <pic:spPr bwMode="auto">
                    <a:xfrm>
                      <a:off x="0" y="0"/>
                      <a:ext cx="8514068" cy="5646497"/>
                    </a:xfrm>
                    <a:prstGeom prst="rect">
                      <a:avLst/>
                    </a:prstGeom>
                    <a:ln>
                      <a:noFill/>
                    </a:ln>
                    <a:extLst>
                      <a:ext uri="{53640926-AAD7-44D8-BBD7-CCE9431645EC}">
                        <a14:shadowObscured xmlns:a14="http://schemas.microsoft.com/office/drawing/2010/main"/>
                      </a:ext>
                    </a:extLst>
                  </pic:spPr>
                </pic:pic>
              </a:graphicData>
            </a:graphic>
          </wp:inline>
        </w:drawing>
      </w:r>
    </w:p>
    <w:sectPr w:rsidR="007F3603" w:rsidSect="004A1FB9">
      <w:footerReference w:type="default" r:id="rId30"/>
      <w:headerReference w:type="first" r:id="rId31"/>
      <w:footerReference w:type="first" r:id="rId32"/>
      <w:pgSz w:w="20160" w:h="12240" w:orient="landscape" w:code="5"/>
      <w:pgMar w:top="72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308B0" w14:textId="77777777" w:rsidR="00FA0707" w:rsidRDefault="00FA0707" w:rsidP="00EC44A5">
      <w:pPr>
        <w:spacing w:after="0" w:line="240" w:lineRule="auto"/>
      </w:pPr>
      <w:r>
        <w:separator/>
      </w:r>
    </w:p>
  </w:endnote>
  <w:endnote w:type="continuationSeparator" w:id="0">
    <w:p w14:paraId="3FD64ADE" w14:textId="77777777" w:rsidR="00FA0707" w:rsidRDefault="00FA0707" w:rsidP="00EC44A5">
      <w:pPr>
        <w:spacing w:after="0" w:line="240" w:lineRule="auto"/>
      </w:pPr>
      <w:r>
        <w:continuationSeparator/>
      </w:r>
    </w:p>
  </w:endnote>
  <w:endnote w:type="continuationNotice" w:id="1">
    <w:p w14:paraId="5C05DACA" w14:textId="77777777" w:rsidR="00FA0707" w:rsidRDefault="00FA07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839584"/>
      <w:docPartObj>
        <w:docPartGallery w:val="Page Numbers (Bottom of Page)"/>
        <w:docPartUnique/>
      </w:docPartObj>
    </w:sdtPr>
    <w:sdtEndPr>
      <w:rPr>
        <w:color w:val="7F7F7F" w:themeColor="background1" w:themeShade="7F"/>
        <w:spacing w:val="60"/>
      </w:rPr>
    </w:sdtEndPr>
    <w:sdtContent>
      <w:p w14:paraId="61F24535" w14:textId="781390D4" w:rsidR="007504E5" w:rsidRDefault="003F6F37" w:rsidP="00AF37A7">
        <w:pPr>
          <w:pStyle w:val="Footer"/>
          <w:pBdr>
            <w:top w:val="single" w:sz="4" w:space="1" w:color="D9D9D9" w:themeColor="background1" w:themeShade="D9"/>
          </w:pBdr>
          <w:jc w:val="right"/>
          <w:rPr>
            <w:b/>
            <w:bCs/>
          </w:rPr>
        </w:pPr>
        <w:r>
          <w:rPr>
            <w:noProof/>
          </w:rPr>
          <mc:AlternateContent>
            <mc:Choice Requires="wps">
              <w:drawing>
                <wp:anchor distT="0" distB="0" distL="114300" distR="114300" simplePos="0" relativeHeight="251658241" behindDoc="0" locked="0" layoutInCell="1" allowOverlap="1" wp14:anchorId="25370797" wp14:editId="78A6117B">
                  <wp:simplePos x="0" y="0"/>
                  <wp:positionH relativeFrom="column">
                    <wp:posOffset>-960120</wp:posOffset>
                  </wp:positionH>
                  <wp:positionV relativeFrom="paragraph">
                    <wp:posOffset>238125</wp:posOffset>
                  </wp:positionV>
                  <wp:extent cx="12809220" cy="289560"/>
                  <wp:effectExtent l="0" t="0" r="11430" b="15240"/>
                  <wp:wrapNone/>
                  <wp:docPr id="8" name="Rectangle 8"/>
                  <wp:cNvGraphicFramePr/>
                  <a:graphic xmlns:a="http://schemas.openxmlformats.org/drawingml/2006/main">
                    <a:graphicData uri="http://schemas.microsoft.com/office/word/2010/wordprocessingShape">
                      <wps:wsp>
                        <wps:cNvSpPr/>
                        <wps:spPr>
                          <a:xfrm>
                            <a:off x="0" y="0"/>
                            <a:ext cx="12809220" cy="2895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DE1176" id="Rectangle 8" o:spid="_x0000_s1026" style="position:absolute;margin-left:-75.6pt;margin-top:18.75pt;width:1008.6pt;height:22.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" fillcolor="#002060" strokecolor="#002060" strokeweight="1pt"/>
              </w:pict>
            </mc:Fallback>
          </mc:AlternateContent>
        </w:r>
        <w:r>
          <w:rPr>
            <w:noProof/>
          </w:rPr>
          <mc:AlternateContent>
            <mc:Choice Requires="wps">
              <w:drawing>
                <wp:anchor distT="0" distB="0" distL="114300" distR="114300" simplePos="0" relativeHeight="251658242" behindDoc="0" locked="0" layoutInCell="1" allowOverlap="1" wp14:anchorId="02D38CA3" wp14:editId="36B5F4B0">
                  <wp:simplePos x="0" y="0"/>
                  <wp:positionH relativeFrom="column">
                    <wp:posOffset>-685800</wp:posOffset>
                  </wp:positionH>
                  <wp:positionV relativeFrom="paragraph">
                    <wp:posOffset>238125</wp:posOffset>
                  </wp:positionV>
                  <wp:extent cx="2369820" cy="297180"/>
                  <wp:effectExtent l="0" t="0" r="0" b="7620"/>
                  <wp:wrapNone/>
                  <wp:docPr id="1" name="Text Box 1"/>
                  <wp:cNvGraphicFramePr/>
                  <a:graphic xmlns:a="http://schemas.openxmlformats.org/drawingml/2006/main">
                    <a:graphicData uri="http://schemas.microsoft.com/office/word/2010/wordprocessingShape">
                      <wps:wsp>
                        <wps:cNvSpPr txBox="1"/>
                        <wps:spPr>
                          <a:xfrm>
                            <a:off x="0" y="0"/>
                            <a:ext cx="2369820" cy="297180"/>
                          </a:xfrm>
                          <a:prstGeom prst="rect">
                            <a:avLst/>
                          </a:prstGeom>
                          <a:noFill/>
                          <a:ln w="6350">
                            <a:noFill/>
                          </a:ln>
                        </wps:spPr>
                        <wps:txbx>
                          <w:txbxContent>
                            <w:p w14:paraId="75EE157B" w14:textId="77777777" w:rsidR="00D040A3" w:rsidRPr="004A6B1B" w:rsidRDefault="00D040A3" w:rsidP="00D040A3">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D38CA3" id="_x0000_t202" coordsize="21600,21600" o:spt="202" path="m,l,21600r21600,l21600,xe">
                  <v:stroke joinstyle="miter"/>
                  <v:path gradientshapeok="t" o:connecttype="rect"/>
                </v:shapetype>
                <v:shape id="Text Box 1" o:spid="_x0000_s1026" type="#_x0000_t202" style="position:absolute;margin-left:-54pt;margin-top:18.75pt;width:186.6pt;height:23.4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" filled="f" stroked="f" strokeweight=".5pt">
                  <v:textbox>
                    <w:txbxContent>
                      <w:p w14:paraId="75EE157B" w14:textId="77777777" w:rsidR="00D040A3" w:rsidRPr="004A6B1B" w:rsidRDefault="00D040A3" w:rsidP="00D040A3">
                        <w:pPr>
                          <w:rPr>
                            <w:b/>
                            <w:color w:val="FFFFFF" w:themeColor="background1"/>
                          </w:rPr>
                        </w:pPr>
                        <w:r w:rsidRPr="004A6B1B">
                          <w:rPr>
                            <w:b/>
                            <w:color w:val="FFFFFF" w:themeColor="background1"/>
                          </w:rPr>
                          <w:t>MICHIGAN MULTIPAYER INITIATIVES</w:t>
                        </w:r>
                      </w:p>
                    </w:txbxContent>
                  </v:textbox>
                </v:shape>
              </w:pict>
            </mc:Fallback>
          </mc:AlternateContent>
        </w:r>
        <w:bookmarkStart w:id="1" w:name="_Hlk104195928"/>
        <w:r w:rsidR="00AF37A7">
          <w:rPr>
            <w:noProof/>
          </w:rPr>
          <w:t>March 2025</w:t>
        </w:r>
      </w:p>
    </w:sdtContent>
  </w:sdt>
  <w:bookmarkEnd w:id="1"/>
  <w:p w14:paraId="18F91A2D" w14:textId="25AB03D6" w:rsidR="006F4429" w:rsidRDefault="00960F68">
    <w:pPr>
      <w:pStyle w:val="Footer"/>
    </w:pPr>
    <w:r>
      <w:rPr>
        <w:noProof/>
      </w:rPr>
      <mc:AlternateContent>
        <mc:Choice Requires="wps">
          <w:drawing>
            <wp:anchor distT="0" distB="0" distL="114300" distR="114300" simplePos="0" relativeHeight="251658243" behindDoc="0" locked="0" layoutInCell="1" allowOverlap="1" wp14:anchorId="22B16714" wp14:editId="19DD40DA">
              <wp:simplePos x="0" y="0"/>
              <wp:positionH relativeFrom="column">
                <wp:posOffset>8915400</wp:posOffset>
              </wp:positionH>
              <wp:positionV relativeFrom="paragraph">
                <wp:posOffset>48895</wp:posOffset>
              </wp:positionV>
              <wp:extent cx="2369820" cy="297180"/>
              <wp:effectExtent l="0" t="0" r="0" b="7620"/>
              <wp:wrapNone/>
              <wp:docPr id="2" name="Text Box 2"/>
              <wp:cNvGraphicFramePr/>
              <a:graphic xmlns:a="http://schemas.openxmlformats.org/drawingml/2006/main">
                <a:graphicData uri="http://schemas.microsoft.com/office/word/2010/wordprocessingShape">
                  <wps:wsp>
                    <wps:cNvSpPr txBox="1"/>
                    <wps:spPr>
                      <a:xfrm>
                        <a:off x="0" y="0"/>
                        <a:ext cx="2369820" cy="297180"/>
                      </a:xfrm>
                      <a:prstGeom prst="rect">
                        <a:avLst/>
                      </a:prstGeom>
                      <a:noFill/>
                      <a:ln w="6350">
                        <a:noFill/>
                      </a:ln>
                    </wps:spPr>
                    <wps:txbx>
                      <w:txbxContent>
                        <w:p w14:paraId="03CFCBB0" w14:textId="3809591E" w:rsidR="00457350" w:rsidRPr="004A6B1B" w:rsidRDefault="00DD14A3" w:rsidP="00457350">
                          <w:pPr>
                            <w:rPr>
                              <w:b/>
                              <w:color w:val="FFFFFF" w:themeColor="background1"/>
                            </w:rPr>
                          </w:pPr>
                          <w:r w:rsidRPr="00DD14A3">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B16714" id="Text Box 2" o:spid="_x0000_s1027" type="#_x0000_t202" style="position:absolute;margin-left:702pt;margin-top:3.85pt;width:186.6pt;height:23.4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" filled="f" stroked="f" strokeweight=".5pt">
              <v:textbox>
                <w:txbxContent>
                  <w:p w14:paraId="03CFCBB0" w14:textId="3809591E" w:rsidR="00457350" w:rsidRPr="004A6B1B" w:rsidRDefault="00DD14A3" w:rsidP="00457350">
                    <w:pPr>
                      <w:rPr>
                        <w:b/>
                        <w:color w:val="FFFFFF" w:themeColor="background1"/>
                      </w:rPr>
                    </w:pPr>
                    <w:r w:rsidRPr="00DD14A3">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021932CB" wp14:editId="42DEFE06">
              <wp:simplePos x="0" y="0"/>
              <wp:positionH relativeFrom="column">
                <wp:posOffset>-1005840</wp:posOffset>
              </wp:positionH>
              <wp:positionV relativeFrom="paragraph">
                <wp:posOffset>254635</wp:posOffset>
              </wp:positionV>
              <wp:extent cx="12854940" cy="251460"/>
              <wp:effectExtent l="0" t="0" r="22860" b="15240"/>
              <wp:wrapNone/>
              <wp:docPr id="7" name="Rectangle 7"/>
              <wp:cNvGraphicFramePr/>
              <a:graphic xmlns:a="http://schemas.openxmlformats.org/drawingml/2006/main">
                <a:graphicData uri="http://schemas.microsoft.com/office/word/2010/wordprocessingShape">
                  <wps:wsp>
                    <wps:cNvSpPr/>
                    <wps:spPr>
                      <a:xfrm>
                        <a:off x="0" y="0"/>
                        <a:ext cx="12854940" cy="25146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7FCF9" id="Rectangle 7" o:spid="_x0000_s1026" style="position:absolute;margin-left:-79.2pt;margin-top:20.05pt;width:1012.2pt;height:19.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" fillcolor="#ffc000" strokecolor="#ffc000" strokeweight="1pt"/>
          </w:pict>
        </mc:Fallback>
      </mc:AlternateContent>
    </w:r>
    <w:r w:rsidR="007504E5">
      <w:tab/>
    </w:r>
    <w:r w:rsidR="007504E5">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0F874" w14:textId="5E206C08" w:rsidR="00DD14A3" w:rsidRDefault="009D5819" w:rsidP="00293969">
    <w:pPr>
      <w:pStyle w:val="Footer"/>
      <w:rPr>
        <w:color w:val="7F7F7F" w:themeColor="background1" w:themeShade="7F"/>
        <w:spacing w:val="60"/>
      </w:rPr>
    </w:pP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sidR="00AF37A7">
      <w:rPr>
        <w:color w:val="7F7F7F" w:themeColor="background1" w:themeShade="7F"/>
        <w:spacing w:val="60"/>
      </w:rPr>
      <w:t>March 2025</w:t>
    </w:r>
  </w:p>
  <w:p w14:paraId="70DD91D0" w14:textId="77777777" w:rsidR="00AF37A7" w:rsidRPr="00293969" w:rsidRDefault="00AF37A7" w:rsidP="00293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EAED6" w14:textId="77777777" w:rsidR="00FA0707" w:rsidRDefault="00FA0707" w:rsidP="00EC44A5">
      <w:pPr>
        <w:spacing w:after="0" w:line="240" w:lineRule="auto"/>
      </w:pPr>
      <w:r>
        <w:separator/>
      </w:r>
    </w:p>
  </w:footnote>
  <w:footnote w:type="continuationSeparator" w:id="0">
    <w:p w14:paraId="104B3FE3" w14:textId="77777777" w:rsidR="00FA0707" w:rsidRDefault="00FA0707" w:rsidP="00EC44A5">
      <w:pPr>
        <w:spacing w:after="0" w:line="240" w:lineRule="auto"/>
      </w:pPr>
      <w:r>
        <w:continuationSeparator/>
      </w:r>
    </w:p>
  </w:footnote>
  <w:footnote w:type="continuationNotice" w:id="1">
    <w:p w14:paraId="43D3E242" w14:textId="77777777" w:rsidR="00FA0707" w:rsidRDefault="00FA07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2E3B8" w14:textId="0805E05B" w:rsidR="003961F5" w:rsidRDefault="003961F5" w:rsidP="003961F5">
    <w:pPr>
      <w:pStyle w:val="Header"/>
      <w:jc w:val="center"/>
    </w:pPr>
    <w:r>
      <w:rPr>
        <w:noProof/>
      </w:rPr>
      <w:drawing>
        <wp:inline distT="0" distB="0" distL="0" distR="0" wp14:anchorId="52B46DD7" wp14:editId="64E6899C">
          <wp:extent cx="838200" cy="763692"/>
          <wp:effectExtent l="0" t="0" r="0" b="0"/>
          <wp:docPr id="19" name="Picture 19" descr="C:\Users\vklink\AppData\Local\Microsoft\Windows\INetCache\Content.Word\MMILogo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klink\AppData\Local\Microsoft\Windows\INetCache\Content.Word\MMILogoFin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192" cy="771885"/>
                  </a:xfrm>
                  <a:prstGeom prst="rect">
                    <a:avLst/>
                  </a:prstGeom>
                  <a:noFill/>
                  <a:ln>
                    <a:noFill/>
                  </a:ln>
                </pic:spPr>
              </pic:pic>
            </a:graphicData>
          </a:graphic>
        </wp:inline>
      </w:drawing>
    </w:r>
  </w:p>
  <w:p w14:paraId="647CB63C" w14:textId="77777777" w:rsidR="003961F5" w:rsidRDefault="003961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34E1F"/>
    <w:multiLevelType w:val="hybridMultilevel"/>
    <w:tmpl w:val="C1DCA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A323F"/>
    <w:multiLevelType w:val="hybridMultilevel"/>
    <w:tmpl w:val="D124E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473DC0"/>
    <w:multiLevelType w:val="hybridMultilevel"/>
    <w:tmpl w:val="49941D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A52F18"/>
    <w:multiLevelType w:val="hybridMultilevel"/>
    <w:tmpl w:val="B93221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0AB5435"/>
    <w:multiLevelType w:val="multilevel"/>
    <w:tmpl w:val="9306B0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A42F01"/>
    <w:multiLevelType w:val="hybridMultilevel"/>
    <w:tmpl w:val="DDA0DBFE"/>
    <w:lvl w:ilvl="0" w:tplc="47A85538">
      <w:start w:val="2"/>
      <w:numFmt w:val="decimal"/>
      <w:lvlText w:val="%1."/>
      <w:lvlJc w:val="left"/>
      <w:pPr>
        <w:ind w:left="162" w:hanging="239"/>
      </w:pPr>
      <w:rPr>
        <w:rFonts w:ascii="Gill Sans MT" w:eastAsia="Gill Sans MT" w:hAnsi="Gill Sans MT" w:cs="Gill Sans MT" w:hint="default"/>
        <w:b/>
        <w:bCs/>
        <w:i w:val="0"/>
        <w:iCs w:val="0"/>
        <w:spacing w:val="0"/>
        <w:w w:val="107"/>
        <w:sz w:val="20"/>
        <w:szCs w:val="20"/>
        <w:lang w:val="en-US" w:eastAsia="en-US" w:bidi="ar-SA"/>
      </w:rPr>
    </w:lvl>
    <w:lvl w:ilvl="1" w:tplc="BE847340">
      <w:numFmt w:val="bullet"/>
      <w:lvlText w:val="•"/>
      <w:lvlJc w:val="left"/>
      <w:pPr>
        <w:ind w:left="503" w:hanging="239"/>
      </w:pPr>
      <w:rPr>
        <w:rFonts w:hint="default"/>
        <w:lang w:val="en-US" w:eastAsia="en-US" w:bidi="ar-SA"/>
      </w:rPr>
    </w:lvl>
    <w:lvl w:ilvl="2" w:tplc="BFD24E46">
      <w:numFmt w:val="bullet"/>
      <w:lvlText w:val="•"/>
      <w:lvlJc w:val="left"/>
      <w:pPr>
        <w:ind w:left="846" w:hanging="239"/>
      </w:pPr>
      <w:rPr>
        <w:rFonts w:hint="default"/>
        <w:lang w:val="en-US" w:eastAsia="en-US" w:bidi="ar-SA"/>
      </w:rPr>
    </w:lvl>
    <w:lvl w:ilvl="3" w:tplc="3DB82C0C">
      <w:numFmt w:val="bullet"/>
      <w:lvlText w:val="•"/>
      <w:lvlJc w:val="left"/>
      <w:pPr>
        <w:ind w:left="1190" w:hanging="239"/>
      </w:pPr>
      <w:rPr>
        <w:rFonts w:hint="default"/>
        <w:lang w:val="en-US" w:eastAsia="en-US" w:bidi="ar-SA"/>
      </w:rPr>
    </w:lvl>
    <w:lvl w:ilvl="4" w:tplc="141A9152">
      <w:numFmt w:val="bullet"/>
      <w:lvlText w:val="•"/>
      <w:lvlJc w:val="left"/>
      <w:pPr>
        <w:ind w:left="1533" w:hanging="239"/>
      </w:pPr>
      <w:rPr>
        <w:rFonts w:hint="default"/>
        <w:lang w:val="en-US" w:eastAsia="en-US" w:bidi="ar-SA"/>
      </w:rPr>
    </w:lvl>
    <w:lvl w:ilvl="5" w:tplc="6EF2D490">
      <w:numFmt w:val="bullet"/>
      <w:lvlText w:val="•"/>
      <w:lvlJc w:val="left"/>
      <w:pPr>
        <w:ind w:left="1877" w:hanging="239"/>
      </w:pPr>
      <w:rPr>
        <w:rFonts w:hint="default"/>
        <w:lang w:val="en-US" w:eastAsia="en-US" w:bidi="ar-SA"/>
      </w:rPr>
    </w:lvl>
    <w:lvl w:ilvl="6" w:tplc="295E44F8">
      <w:numFmt w:val="bullet"/>
      <w:lvlText w:val="•"/>
      <w:lvlJc w:val="left"/>
      <w:pPr>
        <w:ind w:left="2220" w:hanging="239"/>
      </w:pPr>
      <w:rPr>
        <w:rFonts w:hint="default"/>
        <w:lang w:val="en-US" w:eastAsia="en-US" w:bidi="ar-SA"/>
      </w:rPr>
    </w:lvl>
    <w:lvl w:ilvl="7" w:tplc="616E129A">
      <w:numFmt w:val="bullet"/>
      <w:lvlText w:val="•"/>
      <w:lvlJc w:val="left"/>
      <w:pPr>
        <w:ind w:left="2564" w:hanging="239"/>
      </w:pPr>
      <w:rPr>
        <w:rFonts w:hint="default"/>
        <w:lang w:val="en-US" w:eastAsia="en-US" w:bidi="ar-SA"/>
      </w:rPr>
    </w:lvl>
    <w:lvl w:ilvl="8" w:tplc="E71E09F4">
      <w:numFmt w:val="bullet"/>
      <w:lvlText w:val="•"/>
      <w:lvlJc w:val="left"/>
      <w:pPr>
        <w:ind w:left="2907" w:hanging="239"/>
      </w:pPr>
      <w:rPr>
        <w:rFonts w:hint="default"/>
        <w:lang w:val="en-US" w:eastAsia="en-US" w:bidi="ar-SA"/>
      </w:rPr>
    </w:lvl>
  </w:abstractNum>
  <w:abstractNum w:abstractNumId="6" w15:restartNumberingAfterBreak="0">
    <w:nsid w:val="5A2334FB"/>
    <w:multiLevelType w:val="hybridMultilevel"/>
    <w:tmpl w:val="FFFFFFFF"/>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A8744AB"/>
    <w:multiLevelType w:val="hybridMultilevel"/>
    <w:tmpl w:val="00D2CBD8"/>
    <w:lvl w:ilvl="0" w:tplc="D7FA1CBE">
      <w:start w:val="1"/>
      <w:numFmt w:val="decimal"/>
      <w:lvlText w:val="%1."/>
      <w:lvlJc w:val="left"/>
      <w:pPr>
        <w:ind w:left="480" w:hanging="360"/>
      </w:pPr>
      <w:rPr>
        <w:rFonts w:ascii="Gill Sans MT" w:hAnsi="Gill Sans MT" w:hint="default"/>
        <w:b/>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8" w15:restartNumberingAfterBreak="0">
    <w:nsid w:val="5C8C40B0"/>
    <w:multiLevelType w:val="hybridMultilevel"/>
    <w:tmpl w:val="CA4074AE"/>
    <w:lvl w:ilvl="0" w:tplc="8F923FC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885F06"/>
    <w:multiLevelType w:val="hybridMultilevel"/>
    <w:tmpl w:val="0480EB46"/>
    <w:lvl w:ilvl="0" w:tplc="8F0C5148">
      <w:start w:val="1"/>
      <w:numFmt w:val="decimal"/>
      <w:lvlText w:val="%1."/>
      <w:lvlJc w:val="left"/>
      <w:pPr>
        <w:ind w:left="120" w:hanging="239"/>
      </w:pPr>
      <w:rPr>
        <w:rFonts w:ascii="Gill Sans MT" w:eastAsia="Gill Sans MT" w:hAnsi="Gill Sans MT" w:cs="Gill Sans MT" w:hint="default"/>
        <w:b/>
        <w:bCs/>
        <w:i w:val="0"/>
        <w:iCs w:val="0"/>
        <w:spacing w:val="0"/>
        <w:w w:val="107"/>
        <w:sz w:val="20"/>
        <w:szCs w:val="20"/>
        <w:lang w:val="en-US" w:eastAsia="en-US" w:bidi="ar-SA"/>
      </w:rPr>
    </w:lvl>
    <w:lvl w:ilvl="1" w:tplc="9B823F94">
      <w:numFmt w:val="bullet"/>
      <w:lvlText w:val="•"/>
      <w:lvlJc w:val="left"/>
      <w:pPr>
        <w:ind w:left="418" w:hanging="239"/>
      </w:pPr>
      <w:rPr>
        <w:rFonts w:hint="default"/>
        <w:lang w:val="en-US" w:eastAsia="en-US" w:bidi="ar-SA"/>
      </w:rPr>
    </w:lvl>
    <w:lvl w:ilvl="2" w:tplc="5DB44A46">
      <w:numFmt w:val="bullet"/>
      <w:lvlText w:val="•"/>
      <w:lvlJc w:val="left"/>
      <w:pPr>
        <w:ind w:left="717" w:hanging="239"/>
      </w:pPr>
      <w:rPr>
        <w:rFonts w:hint="default"/>
        <w:lang w:val="en-US" w:eastAsia="en-US" w:bidi="ar-SA"/>
      </w:rPr>
    </w:lvl>
    <w:lvl w:ilvl="3" w:tplc="B7305682">
      <w:numFmt w:val="bullet"/>
      <w:lvlText w:val="•"/>
      <w:lvlJc w:val="left"/>
      <w:pPr>
        <w:ind w:left="1016" w:hanging="239"/>
      </w:pPr>
      <w:rPr>
        <w:rFonts w:hint="default"/>
        <w:lang w:val="en-US" w:eastAsia="en-US" w:bidi="ar-SA"/>
      </w:rPr>
    </w:lvl>
    <w:lvl w:ilvl="4" w:tplc="359E497C">
      <w:numFmt w:val="bullet"/>
      <w:lvlText w:val="•"/>
      <w:lvlJc w:val="left"/>
      <w:pPr>
        <w:ind w:left="1315" w:hanging="239"/>
      </w:pPr>
      <w:rPr>
        <w:rFonts w:hint="default"/>
        <w:lang w:val="en-US" w:eastAsia="en-US" w:bidi="ar-SA"/>
      </w:rPr>
    </w:lvl>
    <w:lvl w:ilvl="5" w:tplc="B01CC8D4">
      <w:numFmt w:val="bullet"/>
      <w:lvlText w:val="•"/>
      <w:lvlJc w:val="left"/>
      <w:pPr>
        <w:ind w:left="1614" w:hanging="239"/>
      </w:pPr>
      <w:rPr>
        <w:rFonts w:hint="default"/>
        <w:lang w:val="en-US" w:eastAsia="en-US" w:bidi="ar-SA"/>
      </w:rPr>
    </w:lvl>
    <w:lvl w:ilvl="6" w:tplc="24067720">
      <w:numFmt w:val="bullet"/>
      <w:lvlText w:val="•"/>
      <w:lvlJc w:val="left"/>
      <w:pPr>
        <w:ind w:left="1913" w:hanging="239"/>
      </w:pPr>
      <w:rPr>
        <w:rFonts w:hint="default"/>
        <w:lang w:val="en-US" w:eastAsia="en-US" w:bidi="ar-SA"/>
      </w:rPr>
    </w:lvl>
    <w:lvl w:ilvl="7" w:tplc="7DA82852">
      <w:numFmt w:val="bullet"/>
      <w:lvlText w:val="•"/>
      <w:lvlJc w:val="left"/>
      <w:pPr>
        <w:ind w:left="2212" w:hanging="239"/>
      </w:pPr>
      <w:rPr>
        <w:rFonts w:hint="default"/>
        <w:lang w:val="en-US" w:eastAsia="en-US" w:bidi="ar-SA"/>
      </w:rPr>
    </w:lvl>
    <w:lvl w:ilvl="8" w:tplc="1E4A5884">
      <w:numFmt w:val="bullet"/>
      <w:lvlText w:val="•"/>
      <w:lvlJc w:val="left"/>
      <w:pPr>
        <w:ind w:left="2510" w:hanging="239"/>
      </w:pPr>
      <w:rPr>
        <w:rFonts w:hint="default"/>
        <w:lang w:val="en-US" w:eastAsia="en-US" w:bidi="ar-SA"/>
      </w:rPr>
    </w:lvl>
  </w:abstractNum>
  <w:abstractNum w:abstractNumId="10" w15:restartNumberingAfterBreak="0">
    <w:nsid w:val="646D69AE"/>
    <w:multiLevelType w:val="hybridMultilevel"/>
    <w:tmpl w:val="FD9CE6CE"/>
    <w:lvl w:ilvl="0" w:tplc="04090001">
      <w:start w:val="1"/>
      <w:numFmt w:val="bullet"/>
      <w:lvlText w:val=""/>
      <w:lvlJc w:val="left"/>
      <w:pPr>
        <w:ind w:left="120" w:hanging="226"/>
      </w:pPr>
      <w:rPr>
        <w:rFonts w:ascii="Symbol" w:hAnsi="Symbol" w:hint="default"/>
        <w:b/>
        <w:bCs/>
        <w:i w:val="0"/>
        <w:iCs w:val="0"/>
        <w:spacing w:val="-12"/>
        <w:w w:val="107"/>
        <w:sz w:val="20"/>
        <w:szCs w:val="20"/>
        <w:lang w:val="en-US" w:eastAsia="en-US" w:bidi="ar-SA"/>
      </w:rPr>
    </w:lvl>
    <w:lvl w:ilvl="1" w:tplc="FFFFFFFF">
      <w:numFmt w:val="bullet"/>
      <w:lvlText w:val="–"/>
      <w:lvlJc w:val="left"/>
      <w:pPr>
        <w:ind w:left="1180" w:hanging="360"/>
      </w:pPr>
      <w:rPr>
        <w:rFonts w:ascii="Gill Sans MT" w:eastAsia="Gill Sans MT" w:hAnsi="Gill Sans MT" w:cs="Gill Sans MT" w:hint="default"/>
        <w:b/>
        <w:bCs/>
        <w:i w:val="0"/>
        <w:iCs w:val="0"/>
        <w:color w:val="0093D0"/>
        <w:w w:val="100"/>
        <w:sz w:val="20"/>
        <w:szCs w:val="20"/>
        <w:lang w:val="en-US" w:eastAsia="en-US" w:bidi="ar-SA"/>
      </w:rPr>
    </w:lvl>
    <w:lvl w:ilvl="2" w:tplc="FFFFFFFF">
      <w:numFmt w:val="bullet"/>
      <w:lvlText w:val="•"/>
      <w:lvlJc w:val="left"/>
      <w:pPr>
        <w:ind w:left="1560" w:hanging="360"/>
      </w:pPr>
      <w:rPr>
        <w:rFonts w:ascii="Lucida Sans" w:eastAsia="Lucida Sans" w:hAnsi="Lucida Sans" w:cs="Lucida Sans" w:hint="default"/>
        <w:b w:val="0"/>
        <w:bCs w:val="0"/>
        <w:i w:val="0"/>
        <w:iCs w:val="0"/>
        <w:color w:val="0093D0"/>
        <w:w w:val="79"/>
        <w:sz w:val="20"/>
        <w:szCs w:val="20"/>
        <w:lang w:val="en-US" w:eastAsia="en-US" w:bidi="ar-SA"/>
      </w:rPr>
    </w:lvl>
    <w:lvl w:ilvl="3" w:tplc="FFFFFFFF">
      <w:numFmt w:val="bullet"/>
      <w:lvlText w:val="•"/>
      <w:lvlJc w:val="left"/>
      <w:pPr>
        <w:ind w:left="744" w:hanging="360"/>
      </w:pPr>
      <w:rPr>
        <w:rFonts w:hint="default"/>
        <w:lang w:val="en-US" w:eastAsia="en-US" w:bidi="ar-SA"/>
      </w:rPr>
    </w:lvl>
    <w:lvl w:ilvl="4" w:tplc="FFFFFFFF">
      <w:numFmt w:val="bullet"/>
      <w:lvlText w:val="•"/>
      <w:lvlJc w:val="left"/>
      <w:pPr>
        <w:ind w:left="-72" w:hanging="360"/>
      </w:pPr>
      <w:rPr>
        <w:rFonts w:hint="default"/>
        <w:lang w:val="en-US" w:eastAsia="en-US" w:bidi="ar-SA"/>
      </w:rPr>
    </w:lvl>
    <w:lvl w:ilvl="5" w:tplc="FFFFFFFF">
      <w:numFmt w:val="bullet"/>
      <w:lvlText w:val="•"/>
      <w:lvlJc w:val="left"/>
      <w:pPr>
        <w:ind w:left="-887" w:hanging="360"/>
      </w:pPr>
      <w:rPr>
        <w:rFonts w:hint="default"/>
        <w:lang w:val="en-US" w:eastAsia="en-US" w:bidi="ar-SA"/>
      </w:rPr>
    </w:lvl>
    <w:lvl w:ilvl="6" w:tplc="FFFFFFFF">
      <w:numFmt w:val="bullet"/>
      <w:lvlText w:val="•"/>
      <w:lvlJc w:val="left"/>
      <w:pPr>
        <w:ind w:left="-1703" w:hanging="360"/>
      </w:pPr>
      <w:rPr>
        <w:rFonts w:hint="default"/>
        <w:lang w:val="en-US" w:eastAsia="en-US" w:bidi="ar-SA"/>
      </w:rPr>
    </w:lvl>
    <w:lvl w:ilvl="7" w:tplc="FFFFFFFF">
      <w:numFmt w:val="bullet"/>
      <w:lvlText w:val="•"/>
      <w:lvlJc w:val="left"/>
      <w:pPr>
        <w:ind w:left="-2519" w:hanging="360"/>
      </w:pPr>
      <w:rPr>
        <w:rFonts w:hint="default"/>
        <w:lang w:val="en-US" w:eastAsia="en-US" w:bidi="ar-SA"/>
      </w:rPr>
    </w:lvl>
    <w:lvl w:ilvl="8" w:tplc="FFFFFFFF">
      <w:numFmt w:val="bullet"/>
      <w:lvlText w:val="•"/>
      <w:lvlJc w:val="left"/>
      <w:pPr>
        <w:ind w:left="-3334" w:hanging="360"/>
      </w:pPr>
      <w:rPr>
        <w:rFonts w:hint="default"/>
        <w:lang w:val="en-US" w:eastAsia="en-US" w:bidi="ar-SA"/>
      </w:rPr>
    </w:lvl>
  </w:abstractNum>
  <w:abstractNum w:abstractNumId="11" w15:restartNumberingAfterBreak="0">
    <w:nsid w:val="64CF23D1"/>
    <w:multiLevelType w:val="hybridMultilevel"/>
    <w:tmpl w:val="97844A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95F2B27"/>
    <w:multiLevelType w:val="hybridMultilevel"/>
    <w:tmpl w:val="7B4CB8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4CC1292"/>
    <w:multiLevelType w:val="hybridMultilevel"/>
    <w:tmpl w:val="1C2AC47C"/>
    <w:lvl w:ilvl="0" w:tplc="82080A60">
      <w:start w:val="1"/>
      <w:numFmt w:val="decimal"/>
      <w:lvlText w:val="%1."/>
      <w:lvlJc w:val="left"/>
      <w:pPr>
        <w:ind w:left="120" w:hanging="226"/>
      </w:pPr>
      <w:rPr>
        <w:rFonts w:ascii="Gill Sans MT" w:eastAsia="Gill Sans MT" w:hAnsi="Gill Sans MT" w:cs="Gill Sans MT" w:hint="default"/>
        <w:b/>
        <w:bCs/>
        <w:i w:val="0"/>
        <w:iCs w:val="0"/>
        <w:spacing w:val="-12"/>
        <w:w w:val="107"/>
        <w:sz w:val="20"/>
        <w:szCs w:val="20"/>
        <w:lang w:val="en-US" w:eastAsia="en-US" w:bidi="ar-SA"/>
      </w:rPr>
    </w:lvl>
    <w:lvl w:ilvl="1" w:tplc="5C94FCF6">
      <w:numFmt w:val="bullet"/>
      <w:lvlText w:val="–"/>
      <w:lvlJc w:val="left"/>
      <w:pPr>
        <w:ind w:left="1180" w:hanging="360"/>
      </w:pPr>
      <w:rPr>
        <w:rFonts w:ascii="Gill Sans MT" w:eastAsia="Gill Sans MT" w:hAnsi="Gill Sans MT" w:cs="Gill Sans MT" w:hint="default"/>
        <w:b/>
        <w:bCs/>
        <w:i w:val="0"/>
        <w:iCs w:val="0"/>
        <w:color w:val="0093D0"/>
        <w:w w:val="100"/>
        <w:sz w:val="20"/>
        <w:szCs w:val="20"/>
        <w:lang w:val="en-US" w:eastAsia="en-US" w:bidi="ar-SA"/>
      </w:rPr>
    </w:lvl>
    <w:lvl w:ilvl="2" w:tplc="19A40874">
      <w:numFmt w:val="bullet"/>
      <w:lvlText w:val="•"/>
      <w:lvlJc w:val="left"/>
      <w:pPr>
        <w:ind w:left="1560" w:hanging="360"/>
      </w:pPr>
      <w:rPr>
        <w:rFonts w:ascii="Lucida Sans" w:eastAsia="Lucida Sans" w:hAnsi="Lucida Sans" w:cs="Lucida Sans" w:hint="default"/>
        <w:b w:val="0"/>
        <w:bCs w:val="0"/>
        <w:i w:val="0"/>
        <w:iCs w:val="0"/>
        <w:color w:val="0093D0"/>
        <w:w w:val="79"/>
        <w:sz w:val="20"/>
        <w:szCs w:val="20"/>
        <w:lang w:val="en-US" w:eastAsia="en-US" w:bidi="ar-SA"/>
      </w:rPr>
    </w:lvl>
    <w:lvl w:ilvl="3" w:tplc="BE460BA6">
      <w:numFmt w:val="bullet"/>
      <w:lvlText w:val="•"/>
      <w:lvlJc w:val="left"/>
      <w:pPr>
        <w:ind w:left="744" w:hanging="360"/>
      </w:pPr>
      <w:rPr>
        <w:rFonts w:hint="default"/>
        <w:lang w:val="en-US" w:eastAsia="en-US" w:bidi="ar-SA"/>
      </w:rPr>
    </w:lvl>
    <w:lvl w:ilvl="4" w:tplc="4E00D15E">
      <w:numFmt w:val="bullet"/>
      <w:lvlText w:val="•"/>
      <w:lvlJc w:val="left"/>
      <w:pPr>
        <w:ind w:left="-72" w:hanging="360"/>
      </w:pPr>
      <w:rPr>
        <w:rFonts w:hint="default"/>
        <w:lang w:val="en-US" w:eastAsia="en-US" w:bidi="ar-SA"/>
      </w:rPr>
    </w:lvl>
    <w:lvl w:ilvl="5" w:tplc="8B4C7FB6">
      <w:numFmt w:val="bullet"/>
      <w:lvlText w:val="•"/>
      <w:lvlJc w:val="left"/>
      <w:pPr>
        <w:ind w:left="-887" w:hanging="360"/>
      </w:pPr>
      <w:rPr>
        <w:rFonts w:hint="default"/>
        <w:lang w:val="en-US" w:eastAsia="en-US" w:bidi="ar-SA"/>
      </w:rPr>
    </w:lvl>
    <w:lvl w:ilvl="6" w:tplc="DA20BB28">
      <w:numFmt w:val="bullet"/>
      <w:lvlText w:val="•"/>
      <w:lvlJc w:val="left"/>
      <w:pPr>
        <w:ind w:left="-1703" w:hanging="360"/>
      </w:pPr>
      <w:rPr>
        <w:rFonts w:hint="default"/>
        <w:lang w:val="en-US" w:eastAsia="en-US" w:bidi="ar-SA"/>
      </w:rPr>
    </w:lvl>
    <w:lvl w:ilvl="7" w:tplc="7EA8842A">
      <w:numFmt w:val="bullet"/>
      <w:lvlText w:val="•"/>
      <w:lvlJc w:val="left"/>
      <w:pPr>
        <w:ind w:left="-2519" w:hanging="360"/>
      </w:pPr>
      <w:rPr>
        <w:rFonts w:hint="default"/>
        <w:lang w:val="en-US" w:eastAsia="en-US" w:bidi="ar-SA"/>
      </w:rPr>
    </w:lvl>
    <w:lvl w:ilvl="8" w:tplc="D4C29CB2">
      <w:numFmt w:val="bullet"/>
      <w:lvlText w:val="•"/>
      <w:lvlJc w:val="left"/>
      <w:pPr>
        <w:ind w:left="-3334" w:hanging="360"/>
      </w:pPr>
      <w:rPr>
        <w:rFonts w:hint="default"/>
        <w:lang w:val="en-US" w:eastAsia="en-US" w:bidi="ar-SA"/>
      </w:rPr>
    </w:lvl>
  </w:abstractNum>
  <w:abstractNum w:abstractNumId="14" w15:restartNumberingAfterBreak="0">
    <w:nsid w:val="7D31060C"/>
    <w:multiLevelType w:val="hybridMultilevel"/>
    <w:tmpl w:val="546C1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E0F543E"/>
    <w:multiLevelType w:val="hybridMultilevel"/>
    <w:tmpl w:val="F41673EA"/>
    <w:lvl w:ilvl="0" w:tplc="B22029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112957">
    <w:abstractNumId w:val="4"/>
  </w:num>
  <w:num w:numId="2" w16cid:durableId="1324360396">
    <w:abstractNumId w:val="9"/>
  </w:num>
  <w:num w:numId="3" w16cid:durableId="121847405">
    <w:abstractNumId w:val="13"/>
  </w:num>
  <w:num w:numId="4" w16cid:durableId="271281153">
    <w:abstractNumId w:val="5"/>
  </w:num>
  <w:num w:numId="5" w16cid:durableId="897712909">
    <w:abstractNumId w:val="7"/>
  </w:num>
  <w:num w:numId="6" w16cid:durableId="249044331">
    <w:abstractNumId w:val="0"/>
  </w:num>
  <w:num w:numId="7" w16cid:durableId="761486914">
    <w:abstractNumId w:val="12"/>
  </w:num>
  <w:num w:numId="8" w16cid:durableId="1688553725">
    <w:abstractNumId w:val="10"/>
  </w:num>
  <w:num w:numId="9" w16cid:durableId="1442991829">
    <w:abstractNumId w:val="11"/>
  </w:num>
  <w:num w:numId="10" w16cid:durableId="376857453">
    <w:abstractNumId w:val="3"/>
  </w:num>
  <w:num w:numId="11" w16cid:durableId="1499688521">
    <w:abstractNumId w:val="1"/>
  </w:num>
  <w:num w:numId="12" w16cid:durableId="872770405">
    <w:abstractNumId w:val="2"/>
  </w:num>
  <w:num w:numId="13" w16cid:durableId="1783303427">
    <w:abstractNumId w:val="6"/>
  </w:num>
  <w:num w:numId="14" w16cid:durableId="1832209531">
    <w:abstractNumId w:val="8"/>
  </w:num>
  <w:num w:numId="15" w16cid:durableId="1754476392">
    <w:abstractNumId w:val="15"/>
  </w:num>
  <w:num w:numId="16" w16cid:durableId="20052317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E50"/>
    <w:rsid w:val="000048CD"/>
    <w:rsid w:val="0002218A"/>
    <w:rsid w:val="000265EB"/>
    <w:rsid w:val="00073ABD"/>
    <w:rsid w:val="00073B98"/>
    <w:rsid w:val="00096BE3"/>
    <w:rsid w:val="00096D31"/>
    <w:rsid w:val="000C6A0B"/>
    <w:rsid w:val="000F035B"/>
    <w:rsid w:val="000F4D5C"/>
    <w:rsid w:val="000F6EC9"/>
    <w:rsid w:val="001013F2"/>
    <w:rsid w:val="0010546E"/>
    <w:rsid w:val="001172BC"/>
    <w:rsid w:val="00121454"/>
    <w:rsid w:val="00127D30"/>
    <w:rsid w:val="00184F42"/>
    <w:rsid w:val="0018555D"/>
    <w:rsid w:val="00195F90"/>
    <w:rsid w:val="001B5DC3"/>
    <w:rsid w:val="0020025C"/>
    <w:rsid w:val="002029F1"/>
    <w:rsid w:val="0024006D"/>
    <w:rsid w:val="00253E72"/>
    <w:rsid w:val="00281064"/>
    <w:rsid w:val="00293969"/>
    <w:rsid w:val="002A3086"/>
    <w:rsid w:val="002B6B08"/>
    <w:rsid w:val="002C6275"/>
    <w:rsid w:val="002D0332"/>
    <w:rsid w:val="002E55C6"/>
    <w:rsid w:val="002F4D0A"/>
    <w:rsid w:val="003060BE"/>
    <w:rsid w:val="00317FE3"/>
    <w:rsid w:val="00331FE0"/>
    <w:rsid w:val="003346A1"/>
    <w:rsid w:val="00340237"/>
    <w:rsid w:val="00352AEC"/>
    <w:rsid w:val="0035366C"/>
    <w:rsid w:val="0038158E"/>
    <w:rsid w:val="00384085"/>
    <w:rsid w:val="003961F5"/>
    <w:rsid w:val="00396375"/>
    <w:rsid w:val="003979D3"/>
    <w:rsid w:val="003C09CF"/>
    <w:rsid w:val="003C4B8E"/>
    <w:rsid w:val="003D4ABA"/>
    <w:rsid w:val="003F6F37"/>
    <w:rsid w:val="00400C82"/>
    <w:rsid w:val="00417C39"/>
    <w:rsid w:val="0044092F"/>
    <w:rsid w:val="00445BD8"/>
    <w:rsid w:val="00457350"/>
    <w:rsid w:val="00457834"/>
    <w:rsid w:val="00490BA5"/>
    <w:rsid w:val="004A1FB9"/>
    <w:rsid w:val="004A2438"/>
    <w:rsid w:val="004A61C0"/>
    <w:rsid w:val="004B0777"/>
    <w:rsid w:val="004C06FF"/>
    <w:rsid w:val="004C336E"/>
    <w:rsid w:val="004D589D"/>
    <w:rsid w:val="004E365B"/>
    <w:rsid w:val="004E37F8"/>
    <w:rsid w:val="00501C6E"/>
    <w:rsid w:val="005227C7"/>
    <w:rsid w:val="0053164B"/>
    <w:rsid w:val="005337A3"/>
    <w:rsid w:val="00535EF1"/>
    <w:rsid w:val="00537638"/>
    <w:rsid w:val="005433A6"/>
    <w:rsid w:val="00551A87"/>
    <w:rsid w:val="00566910"/>
    <w:rsid w:val="005723A9"/>
    <w:rsid w:val="005766C0"/>
    <w:rsid w:val="005A1B8D"/>
    <w:rsid w:val="005B4F11"/>
    <w:rsid w:val="005F0EF1"/>
    <w:rsid w:val="005F3634"/>
    <w:rsid w:val="005F3DA4"/>
    <w:rsid w:val="005F575B"/>
    <w:rsid w:val="005F7DEB"/>
    <w:rsid w:val="006049C4"/>
    <w:rsid w:val="00617917"/>
    <w:rsid w:val="0062223E"/>
    <w:rsid w:val="00667FC1"/>
    <w:rsid w:val="00686507"/>
    <w:rsid w:val="006B0BCD"/>
    <w:rsid w:val="006D59D1"/>
    <w:rsid w:val="006E2BE4"/>
    <w:rsid w:val="006F189F"/>
    <w:rsid w:val="006F4429"/>
    <w:rsid w:val="006F596C"/>
    <w:rsid w:val="00711767"/>
    <w:rsid w:val="00711EE7"/>
    <w:rsid w:val="00714E5C"/>
    <w:rsid w:val="00733D21"/>
    <w:rsid w:val="007346AA"/>
    <w:rsid w:val="0074689B"/>
    <w:rsid w:val="007504E5"/>
    <w:rsid w:val="00750712"/>
    <w:rsid w:val="00753AE8"/>
    <w:rsid w:val="007775CD"/>
    <w:rsid w:val="00782794"/>
    <w:rsid w:val="00795807"/>
    <w:rsid w:val="007D4B64"/>
    <w:rsid w:val="007F3603"/>
    <w:rsid w:val="007F665E"/>
    <w:rsid w:val="00803BA1"/>
    <w:rsid w:val="00814D63"/>
    <w:rsid w:val="0082163E"/>
    <w:rsid w:val="00823FF0"/>
    <w:rsid w:val="0083385D"/>
    <w:rsid w:val="0084568A"/>
    <w:rsid w:val="0085022E"/>
    <w:rsid w:val="008572FF"/>
    <w:rsid w:val="008641FB"/>
    <w:rsid w:val="00876E02"/>
    <w:rsid w:val="00891A72"/>
    <w:rsid w:val="008A6115"/>
    <w:rsid w:val="008A6AD2"/>
    <w:rsid w:val="008B3026"/>
    <w:rsid w:val="008B3B9F"/>
    <w:rsid w:val="008B6E93"/>
    <w:rsid w:val="008C204D"/>
    <w:rsid w:val="008D4D68"/>
    <w:rsid w:val="008E3BDE"/>
    <w:rsid w:val="009024AB"/>
    <w:rsid w:val="00927033"/>
    <w:rsid w:val="0093128F"/>
    <w:rsid w:val="00954AC8"/>
    <w:rsid w:val="00960F68"/>
    <w:rsid w:val="00966C7E"/>
    <w:rsid w:val="00970055"/>
    <w:rsid w:val="009939F5"/>
    <w:rsid w:val="0099765E"/>
    <w:rsid w:val="009A1DE0"/>
    <w:rsid w:val="009D5819"/>
    <w:rsid w:val="009D7313"/>
    <w:rsid w:val="009E09BE"/>
    <w:rsid w:val="009F17B2"/>
    <w:rsid w:val="00A002DB"/>
    <w:rsid w:val="00A01F7B"/>
    <w:rsid w:val="00A02287"/>
    <w:rsid w:val="00A16EBC"/>
    <w:rsid w:val="00A22A9D"/>
    <w:rsid w:val="00A26325"/>
    <w:rsid w:val="00A312E2"/>
    <w:rsid w:val="00A3324B"/>
    <w:rsid w:val="00A37023"/>
    <w:rsid w:val="00A44886"/>
    <w:rsid w:val="00A662EB"/>
    <w:rsid w:val="00A67303"/>
    <w:rsid w:val="00A801AF"/>
    <w:rsid w:val="00A90674"/>
    <w:rsid w:val="00A92C8A"/>
    <w:rsid w:val="00AA4E57"/>
    <w:rsid w:val="00AB63C1"/>
    <w:rsid w:val="00AD1AB5"/>
    <w:rsid w:val="00AE4307"/>
    <w:rsid w:val="00AF37A7"/>
    <w:rsid w:val="00B11941"/>
    <w:rsid w:val="00B16296"/>
    <w:rsid w:val="00B163CF"/>
    <w:rsid w:val="00B210E6"/>
    <w:rsid w:val="00B33BA5"/>
    <w:rsid w:val="00B42328"/>
    <w:rsid w:val="00B45279"/>
    <w:rsid w:val="00B570BC"/>
    <w:rsid w:val="00B5726A"/>
    <w:rsid w:val="00B6395F"/>
    <w:rsid w:val="00B6437B"/>
    <w:rsid w:val="00B70872"/>
    <w:rsid w:val="00B74320"/>
    <w:rsid w:val="00B76FAB"/>
    <w:rsid w:val="00B87667"/>
    <w:rsid w:val="00B87EA1"/>
    <w:rsid w:val="00BA7C75"/>
    <w:rsid w:val="00BC4270"/>
    <w:rsid w:val="00BC4EED"/>
    <w:rsid w:val="00BC6ABB"/>
    <w:rsid w:val="00BD2D7A"/>
    <w:rsid w:val="00BE1ECE"/>
    <w:rsid w:val="00BF14C1"/>
    <w:rsid w:val="00C11388"/>
    <w:rsid w:val="00C119FE"/>
    <w:rsid w:val="00C24AE5"/>
    <w:rsid w:val="00C30EAE"/>
    <w:rsid w:val="00C30F7D"/>
    <w:rsid w:val="00C343B0"/>
    <w:rsid w:val="00C40B57"/>
    <w:rsid w:val="00C45B3F"/>
    <w:rsid w:val="00C5092B"/>
    <w:rsid w:val="00C64205"/>
    <w:rsid w:val="00C80EEB"/>
    <w:rsid w:val="00C963BA"/>
    <w:rsid w:val="00CA4771"/>
    <w:rsid w:val="00CA51F9"/>
    <w:rsid w:val="00CB6EC8"/>
    <w:rsid w:val="00CC53FC"/>
    <w:rsid w:val="00CD5E40"/>
    <w:rsid w:val="00CE4B54"/>
    <w:rsid w:val="00CE593D"/>
    <w:rsid w:val="00D01A9E"/>
    <w:rsid w:val="00D040A3"/>
    <w:rsid w:val="00D10183"/>
    <w:rsid w:val="00D1109A"/>
    <w:rsid w:val="00D13276"/>
    <w:rsid w:val="00D1718A"/>
    <w:rsid w:val="00D17557"/>
    <w:rsid w:val="00D17A88"/>
    <w:rsid w:val="00D20F5C"/>
    <w:rsid w:val="00D30E52"/>
    <w:rsid w:val="00D769C1"/>
    <w:rsid w:val="00D8246E"/>
    <w:rsid w:val="00D94B27"/>
    <w:rsid w:val="00DA2E50"/>
    <w:rsid w:val="00DA5CC7"/>
    <w:rsid w:val="00DB20B8"/>
    <w:rsid w:val="00DB424B"/>
    <w:rsid w:val="00DC3CDF"/>
    <w:rsid w:val="00DD14A3"/>
    <w:rsid w:val="00DD759E"/>
    <w:rsid w:val="00DE1854"/>
    <w:rsid w:val="00DE3883"/>
    <w:rsid w:val="00E1259C"/>
    <w:rsid w:val="00E1440C"/>
    <w:rsid w:val="00E14662"/>
    <w:rsid w:val="00E32A1C"/>
    <w:rsid w:val="00E43BF7"/>
    <w:rsid w:val="00E50F40"/>
    <w:rsid w:val="00E72B37"/>
    <w:rsid w:val="00E777CB"/>
    <w:rsid w:val="00E815C2"/>
    <w:rsid w:val="00EA0651"/>
    <w:rsid w:val="00EC44A5"/>
    <w:rsid w:val="00EC6335"/>
    <w:rsid w:val="00ED3D6E"/>
    <w:rsid w:val="00ED7EFD"/>
    <w:rsid w:val="00EE7F0D"/>
    <w:rsid w:val="00F1032E"/>
    <w:rsid w:val="00F10C8B"/>
    <w:rsid w:val="00F10E08"/>
    <w:rsid w:val="00F3257E"/>
    <w:rsid w:val="00F33DBB"/>
    <w:rsid w:val="00F44423"/>
    <w:rsid w:val="00F44E59"/>
    <w:rsid w:val="00F47662"/>
    <w:rsid w:val="00F50E60"/>
    <w:rsid w:val="00F57C40"/>
    <w:rsid w:val="00F601E4"/>
    <w:rsid w:val="00F77339"/>
    <w:rsid w:val="00F837B2"/>
    <w:rsid w:val="00F93065"/>
    <w:rsid w:val="00F95637"/>
    <w:rsid w:val="00F96C02"/>
    <w:rsid w:val="00FA0707"/>
    <w:rsid w:val="00FA6492"/>
    <w:rsid w:val="00FB1464"/>
    <w:rsid w:val="00FB63EE"/>
    <w:rsid w:val="00FB6BDC"/>
    <w:rsid w:val="00FE0790"/>
    <w:rsid w:val="1E845B83"/>
    <w:rsid w:val="41ECA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A36FB"/>
  <w15:docId w15:val="{8B928198-C547-417B-BD97-644EA9E0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2E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4F11"/>
    <w:pPr>
      <w:ind w:left="720"/>
      <w:contextualSpacing/>
    </w:pPr>
  </w:style>
  <w:style w:type="paragraph" w:styleId="Header">
    <w:name w:val="header"/>
    <w:basedOn w:val="Normal"/>
    <w:link w:val="HeaderChar"/>
    <w:uiPriority w:val="99"/>
    <w:unhideWhenUsed/>
    <w:rsid w:val="00EC44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44A5"/>
  </w:style>
  <w:style w:type="paragraph" w:styleId="Footer">
    <w:name w:val="footer"/>
    <w:basedOn w:val="Normal"/>
    <w:link w:val="FooterChar"/>
    <w:uiPriority w:val="99"/>
    <w:unhideWhenUsed/>
    <w:rsid w:val="00EC44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44A5"/>
  </w:style>
  <w:style w:type="character" w:styleId="Hyperlink">
    <w:name w:val="Hyperlink"/>
    <w:basedOn w:val="DefaultParagraphFont"/>
    <w:uiPriority w:val="99"/>
    <w:unhideWhenUsed/>
    <w:rsid w:val="00EC44A5"/>
    <w:rPr>
      <w:color w:val="0563C1" w:themeColor="hyperlink"/>
      <w:u w:val="single"/>
    </w:rPr>
  </w:style>
  <w:style w:type="character" w:styleId="UnresolvedMention">
    <w:name w:val="Unresolved Mention"/>
    <w:basedOn w:val="DefaultParagraphFont"/>
    <w:uiPriority w:val="99"/>
    <w:semiHidden/>
    <w:unhideWhenUsed/>
    <w:rsid w:val="00EC44A5"/>
    <w:rPr>
      <w:color w:val="605E5C"/>
      <w:shd w:val="clear" w:color="auto" w:fill="E1DFDD"/>
    </w:rPr>
  </w:style>
  <w:style w:type="paragraph" w:customStyle="1" w:styleId="TableParagraph">
    <w:name w:val="Table Paragraph"/>
    <w:basedOn w:val="Normal"/>
    <w:uiPriority w:val="1"/>
    <w:qFormat/>
    <w:rsid w:val="00A312E2"/>
    <w:pPr>
      <w:widowControl w:val="0"/>
      <w:autoSpaceDE w:val="0"/>
      <w:autoSpaceDN w:val="0"/>
      <w:spacing w:after="0" w:line="240" w:lineRule="auto"/>
    </w:pPr>
    <w:rPr>
      <w:rFonts w:ascii="Calibri" w:eastAsia="Calibri" w:hAnsi="Calibri" w:cs="Calibri"/>
    </w:rPr>
  </w:style>
  <w:style w:type="character" w:styleId="FollowedHyperlink">
    <w:name w:val="FollowedHyperlink"/>
    <w:basedOn w:val="DefaultParagraphFont"/>
    <w:uiPriority w:val="99"/>
    <w:semiHidden/>
    <w:unhideWhenUsed/>
    <w:rsid w:val="006F4429"/>
    <w:rPr>
      <w:color w:val="954F72" w:themeColor="followedHyperlink"/>
      <w:u w:val="single"/>
    </w:rPr>
  </w:style>
  <w:style w:type="paragraph" w:customStyle="1" w:styleId="Default">
    <w:name w:val="Default"/>
    <w:rsid w:val="004E365B"/>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CE4B54"/>
    <w:rPr>
      <w:sz w:val="16"/>
      <w:szCs w:val="16"/>
    </w:rPr>
  </w:style>
  <w:style w:type="paragraph" w:styleId="CommentText">
    <w:name w:val="annotation text"/>
    <w:basedOn w:val="Normal"/>
    <w:link w:val="CommentTextChar"/>
    <w:uiPriority w:val="99"/>
    <w:unhideWhenUsed/>
    <w:rsid w:val="00CE4B54"/>
    <w:pPr>
      <w:spacing w:line="240" w:lineRule="auto"/>
    </w:pPr>
    <w:rPr>
      <w:sz w:val="20"/>
      <w:szCs w:val="20"/>
    </w:rPr>
  </w:style>
  <w:style w:type="character" w:customStyle="1" w:styleId="CommentTextChar">
    <w:name w:val="Comment Text Char"/>
    <w:basedOn w:val="DefaultParagraphFont"/>
    <w:link w:val="CommentText"/>
    <w:uiPriority w:val="99"/>
    <w:rsid w:val="00CE4B54"/>
    <w:rPr>
      <w:sz w:val="20"/>
      <w:szCs w:val="20"/>
    </w:rPr>
  </w:style>
  <w:style w:type="paragraph" w:styleId="CommentSubject">
    <w:name w:val="annotation subject"/>
    <w:basedOn w:val="CommentText"/>
    <w:next w:val="CommentText"/>
    <w:link w:val="CommentSubjectChar"/>
    <w:uiPriority w:val="99"/>
    <w:semiHidden/>
    <w:unhideWhenUsed/>
    <w:rsid w:val="00CE4B54"/>
    <w:rPr>
      <w:b/>
      <w:bCs/>
    </w:rPr>
  </w:style>
  <w:style w:type="character" w:customStyle="1" w:styleId="CommentSubjectChar">
    <w:name w:val="Comment Subject Char"/>
    <w:basedOn w:val="CommentTextChar"/>
    <w:link w:val="CommentSubject"/>
    <w:uiPriority w:val="99"/>
    <w:semiHidden/>
    <w:rsid w:val="00CE4B5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92644">
      <w:bodyDiv w:val="1"/>
      <w:marLeft w:val="0"/>
      <w:marRight w:val="0"/>
      <w:marTop w:val="0"/>
      <w:marBottom w:val="0"/>
      <w:divBdr>
        <w:top w:val="none" w:sz="0" w:space="0" w:color="auto"/>
        <w:left w:val="none" w:sz="0" w:space="0" w:color="auto"/>
        <w:bottom w:val="none" w:sz="0" w:space="0" w:color="auto"/>
        <w:right w:val="none" w:sz="0" w:space="0" w:color="auto"/>
      </w:divBdr>
    </w:div>
    <w:div w:id="531576807">
      <w:bodyDiv w:val="1"/>
      <w:marLeft w:val="0"/>
      <w:marRight w:val="0"/>
      <w:marTop w:val="0"/>
      <w:marBottom w:val="0"/>
      <w:divBdr>
        <w:top w:val="none" w:sz="0" w:space="0" w:color="auto"/>
        <w:left w:val="none" w:sz="0" w:space="0" w:color="auto"/>
        <w:bottom w:val="none" w:sz="0" w:space="0" w:color="auto"/>
        <w:right w:val="none" w:sz="0" w:space="0" w:color="auto"/>
      </w:divBdr>
    </w:div>
    <w:div w:id="711687012">
      <w:bodyDiv w:val="1"/>
      <w:marLeft w:val="0"/>
      <w:marRight w:val="0"/>
      <w:marTop w:val="0"/>
      <w:marBottom w:val="0"/>
      <w:divBdr>
        <w:top w:val="none" w:sz="0" w:space="0" w:color="auto"/>
        <w:left w:val="none" w:sz="0" w:space="0" w:color="auto"/>
        <w:bottom w:val="none" w:sz="0" w:space="0" w:color="auto"/>
        <w:right w:val="none" w:sz="0" w:space="0" w:color="auto"/>
      </w:divBdr>
    </w:div>
    <w:div w:id="1201819266">
      <w:bodyDiv w:val="1"/>
      <w:marLeft w:val="0"/>
      <w:marRight w:val="0"/>
      <w:marTop w:val="0"/>
      <w:marBottom w:val="0"/>
      <w:divBdr>
        <w:top w:val="none" w:sz="0" w:space="0" w:color="auto"/>
        <w:left w:val="none" w:sz="0" w:space="0" w:color="auto"/>
        <w:bottom w:val="none" w:sz="0" w:space="0" w:color="auto"/>
        <w:right w:val="none" w:sz="0" w:space="0" w:color="auto"/>
      </w:divBdr>
    </w:div>
    <w:div w:id="1265261526">
      <w:bodyDiv w:val="1"/>
      <w:marLeft w:val="0"/>
      <w:marRight w:val="0"/>
      <w:marTop w:val="0"/>
      <w:marBottom w:val="0"/>
      <w:divBdr>
        <w:top w:val="none" w:sz="0" w:space="0" w:color="auto"/>
        <w:left w:val="none" w:sz="0" w:space="0" w:color="auto"/>
        <w:bottom w:val="none" w:sz="0" w:space="0" w:color="auto"/>
        <w:right w:val="none" w:sz="0" w:space="0" w:color="auto"/>
      </w:divBdr>
    </w:div>
    <w:div w:id="1705788824">
      <w:bodyDiv w:val="1"/>
      <w:marLeft w:val="0"/>
      <w:marRight w:val="0"/>
      <w:marTop w:val="0"/>
      <w:marBottom w:val="0"/>
      <w:divBdr>
        <w:top w:val="none" w:sz="0" w:space="0" w:color="auto"/>
        <w:left w:val="none" w:sz="0" w:space="0" w:color="auto"/>
        <w:bottom w:val="none" w:sz="0" w:space="0" w:color="auto"/>
        <w:right w:val="none" w:sz="0" w:space="0" w:color="auto"/>
      </w:divBdr>
    </w:div>
    <w:div w:id="1983194186">
      <w:bodyDiv w:val="1"/>
      <w:marLeft w:val="0"/>
      <w:marRight w:val="0"/>
      <w:marTop w:val="0"/>
      <w:marBottom w:val="0"/>
      <w:divBdr>
        <w:top w:val="none" w:sz="0" w:space="0" w:color="auto"/>
        <w:left w:val="none" w:sz="0" w:space="0" w:color="auto"/>
        <w:bottom w:val="none" w:sz="0" w:space="0" w:color="auto"/>
        <w:right w:val="none" w:sz="0" w:space="0" w:color="auto"/>
      </w:divBdr>
    </w:div>
    <w:div w:id="1993023026">
      <w:bodyDiv w:val="1"/>
      <w:marLeft w:val="0"/>
      <w:marRight w:val="0"/>
      <w:marTop w:val="0"/>
      <w:marBottom w:val="0"/>
      <w:divBdr>
        <w:top w:val="none" w:sz="0" w:space="0" w:color="auto"/>
        <w:left w:val="none" w:sz="0" w:space="0" w:color="auto"/>
        <w:bottom w:val="none" w:sz="0" w:space="0" w:color="auto"/>
        <w:right w:val="none" w:sz="0" w:space="0" w:color="auto"/>
      </w:divBdr>
    </w:div>
    <w:div w:id="20266638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ms.gov/Outreach-and-Education/Medicare-Learning-Network-MLN/MLNProducts/Downloads/BehavioralHealthIntegration.pdf" TargetMode="External"/><Relationship Id="rId18" Type="http://schemas.openxmlformats.org/officeDocument/2006/relationships/hyperlink" Target="https://www.cms.gov/files/document/mln909432-behavioral-health-integration-services.pdf" TargetMode="Externa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ms.gov/Outreach-and-Education/Medicare-Learning-Network-MLN/MLNProducts/Downloads/BehavioralHealthIntegration.pdf" TargetMode="External"/><Relationship Id="rId17" Type="http://schemas.openxmlformats.org/officeDocument/2006/relationships/hyperlink" Target="mailto:multipayerprimcare@med.umich.edu" TargetMode="External"/><Relationship Id="rId25" Type="http://schemas.openxmlformats.org/officeDocument/2006/relationships/image" Target="media/image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ms.gov/Outreach-and-Education/Medicare-Learning-Network-MLN/MLNProducts/Downloads/BehavioralHealthIntegration.pdf" TargetMode="External"/><Relationship Id="rId20" Type="http://schemas.openxmlformats.org/officeDocument/2006/relationships/image" Target="media/image2.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ms.gov/Outreach-and-Education/Medicare-Learning-Network-MLN/MLNProducts/Downloads/BehavioralHealthIntegration.pdf" TargetMode="External"/><Relationship Id="rId24" Type="http://schemas.openxmlformats.org/officeDocument/2006/relationships/image" Target="media/image6.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cms.gov/Outreach-and-Education/Medicare-Learning-Network-MLN/MLNProducts/Downloads/BehavioralHealthIntegration.pdf" TargetMode="External"/><Relationship Id="rId23" Type="http://schemas.openxmlformats.org/officeDocument/2006/relationships/image" Target="media/image5.png"/><Relationship Id="rId28" Type="http://schemas.openxmlformats.org/officeDocument/2006/relationships/image" Target="media/image10.png"/><Relationship Id="rId10" Type="http://schemas.openxmlformats.org/officeDocument/2006/relationships/hyperlink" Target="https://www.cms.gov/Outreach-and-Education/Medicare-Learning-Network-MLN/MLNProducts/Downloads/BehavioralHealthIntegration.pdf" TargetMode="External"/><Relationship Id="rId19" Type="http://schemas.openxmlformats.org/officeDocument/2006/relationships/image" Target="media/image1.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ms.gov/Outreach-and-Education/Medicare-Learning-Network-MLN/MLNProducts/Downloads/BehavioralHealthIntegration.pdf" TargetMode="External"/><Relationship Id="rId14" Type="http://schemas.openxmlformats.org/officeDocument/2006/relationships/hyperlink" Target="https://www.cms.gov/Outreach-and-Education/Medicare-Learning-Network-MLN/MLNProducts/Downloads/BehavioralHealthIntegration.pdf" TargetMode="Externa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footer" Target="footer1.xml"/><Relationship Id="rId8" Type="http://schemas.openxmlformats.org/officeDocument/2006/relationships/hyperlink" Target="https://www.cms.gov/files/document/mln909432-behavioral-health-integration-service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7ECBE-D928-455F-9CA9-8AFBC0928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1016</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6795</CharactersWithSpaces>
  <SharedDoc>false</SharedDoc>
  <HLinks>
    <vt:vector size="6" baseType="variant">
      <vt:variant>
        <vt:i4>4784179</vt:i4>
      </vt:variant>
      <vt:variant>
        <vt:i4>0</vt:i4>
      </vt:variant>
      <vt:variant>
        <vt:i4>0</vt:i4>
      </vt:variant>
      <vt:variant>
        <vt:i4>5</vt:i4>
      </vt:variant>
      <vt:variant>
        <vt:lpwstr>mailto:multipayerprimcare@med.umich.edu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Marriott, Diane</dc:creator>
  <cp:keywords/>
  <dc:description/>
  <cp:lastModifiedBy>Marriott, Diane</cp:lastModifiedBy>
  <cp:revision>2</cp:revision>
  <dcterms:created xsi:type="dcterms:W3CDTF">2025-04-08T15:40:00Z</dcterms:created>
  <dcterms:modified xsi:type="dcterms:W3CDTF">2025-04-08T15:40:00Z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2022-12-12T14:50:26Z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d7897a5b-51d9-46f2-bd14-4d5d12d898c2</vt:lpwstr>
  </property>
  <property fmtid="{D5CDD505-2E9C-101B-9397-08002B2CF9AE}" pid="8" name="MSIP_Label_3a2fed65-62e7-46ea-af74-187e0c17143a_ContentBits">
    <vt:lpwstr>0</vt:lpwstr>
  </property>
</Properties>
</file>